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DCSO/456/2020 vom 3. Dezember 2020</w:t>
      </w:r>
    </w:p>
    <w:p>
      <w:r>
        <w:t>GE Cour de justice, 2020-12-03, FR</w:t>
      </w:r>
    </w:p>
    <w:p>
      <w:r>
        <w:rPr>
          <w:b/>
        </w:rPr>
        <w:t xml:space="preserve">Quelle: </w:t>
      </w:r>
      <w:r>
        <w:t>https://mcp.opencaselaw.ch/entscheid/ge_gerichte_DCSO_456_2020</w:t>
      </w:r>
    </w:p>
    <w:p>
      <w:r>
        <w:t>FR: GE_GERICHTE DCSO/456/2020 du 3 décembre 2020</w:t>
      </w:r>
    </w:p>
    <w:p>
      <w:r>
        <w:t>IT: GE_GERICHTE DCSO/456/2020 del 3 dicembre 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w:t>
      </w:r>
    </w:p>
    <w:p>
      <w:r>
        <w:rPr>
          <w:b/>
        </w:rPr>
        <w:t>E. 1.2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L'art. 97 al. 1 LP, applicable par analogie à l'exécution du séquestre en vertu du renvoi de l'art. 275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w:t>
      </w:r>
    </w:p>
    <w:p>
      <w:r>
        <w:t>- 6/8 -</w:t>
      </w:r>
    </w:p>
    <w:p>
      <w:r>
        <w:t>A/2657/2020-CS mesure le montant des frais (art. 92 al. 2 LP) (STOFFEL/CHABLOZ, op. cit., N 13 ad art. 276 LP).</w:t>
      </w:r>
    </w:p>
    <w:p>
      <w:r>
        <w:t>Si, après avoir procédé – au besoin en faisant appel à un expert (DE GOTTRAU, op. cit., N 10 ad art. 91 LP) – à l'estimation de la valeur des biens mentionnés par l'ordonnance de séquestre, l'Office aboutit à la conclusion que cette valeur excède notablement l'assiette du séquestre, il devra en limiter la portée à certains seulement de ces biens.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 (ATF 129 III 203 consid. 2.3; 120 III 49 consid. 2a; OCHSNER, Exécution du séquestre, in SJ 2006 II pp. 77 ss., p. 113). Dans une telle hypothèse, et afin de respecter le droit d'être entendu des parties, les décisions de l'Office relatives à l'estimation des objets séquestrés, l'assiette du séquestre et l'application de l'art. 95 LP doivent figurer dans le procès-verbal de séquestre, lequel peut faire l'objet d'une plainte (art. 276 LP; OCHSNER, op. cit., p. 113).</w:t>
      </w:r>
    </w:p>
    <w:p>
      <w:r>
        <w:rPr>
          <w:b/>
        </w:rPr>
        <w:t>E. 2.2</w:t>
      </w:r>
    </w:p>
    <w:p>
      <w:r>
        <w:t>Dans le cas d'espèce, l'Office a exécuté les séquestres en mains du débiteur ainsi qu'en celles de trois établissements bancaires détenant, selon l'ordonnance de séquestre, des avoirs appartenant au débiteur quand bien même certains d'entre eux étaient déposés aux noms de tiers.</w:t>
      </w:r>
    </w:p>
    <w:p>
      <w:r>
        <w:t>Alors que le débiteur a indiqué que les séquestres exécutés en ses mains n'avaient pas porté, les trois établissements bancaires concernés ont dans un premier temps et comme ils en avaient la possibilité selon la jurisprudence (ATF 129 III 391 cons. 2), renoncé à renseigner l'Office sur la portée des séquestres. Ce dernier n'a, par voie de conséquence, pas été en mesure de mentionner de façon individualisée dans l'ordonnance de séquestre les avoirs séquestrés ni d'en estimer la valeur. Pour la même raison, il n'a pas non plus pu vérifier si la valeur globale des avoirs séquestrés excédait l'assiette du séquestre, qu'il a fixée à 236'218'862 fr. 20, ni déterminer l'ordre dans lequel les avoirs devaient être séquestrés.</w:t>
      </w:r>
    </w:p>
    <w:p>
      <w:r>
        <w:t>Cette situation a toutefois changé le 13 août 2020, date à laquelle l'un des trois établissements bancaires concernés, la H______, a fourni à l'Office des informations complètes sur les avoirs déposés sur l'un des comptes visés par les séquestres. Depuis lors en effet, l'Office s'est trouvé en mesure d'identifier de manière individualisée une partie des avoirs touchés par les séquestres et d'en estimer la valeur. Il lui incombait dès lors de procéder à cette estimation puis de compléter le procès-verbal de séquestre par l'indication précise des avoirs séquestrés et de leur valeur. Si, après avoir estimé les biens séquestrés, l'Office avait constaté que leur valeur excédait notablement l'assiette du séquestre, il aurait</w:t>
      </w:r>
    </w:p>
    <w:p>
      <w:r>
        <w:t>- 7/8 -</w:t>
      </w:r>
    </w:p>
    <w:p>
      <w:r>
        <w:t>A/2657/2020-CS dû en limiter la portée en application de l'art. 97 al. 2 LP en déterminant précisément quels avoirs resteraient soumis au séquestre et lesquels seraient libérés, sa décision sur ce point devant elle aussi figurer dans un complément au procès-verbal de séquestre.</w:t>
      </w:r>
    </w:p>
    <w:p>
      <w:r>
        <w:t>C'est donc à juste titre que la plaignante reproche à l'Office d'avoir refusé d'examiner si les séquestres ne portaient pas sur des biens d'une valeur excédant largement leur assiette et, le cas échéant, de déterminer les biens devant être libérés du séquestre. Contrairement à ce qu'a retenu l'Office, il ne s'agit pas là d'une question de gestion des avoirs mis sous mains de justice, qui pourrait être déléguée au juge de l'action en revendication – étant au demeurant relevé qu'il n'est pas certain qu'une action en revendication soit effectivement déposée – mais de la détermination concrète des avoirs séquestrés, point relevant de sa compétence exclusive en sa qualité d'autorité chargée de l'exécution du séquestre.</w:t>
      </w:r>
    </w:p>
    <w:p>
      <w:r>
        <w:t>La plainte sera donc admise et l'Office invité à estimer la valeur des avoirs séquestrés sur le compte litigieux et, le cas échéant, à déterminer quels biens excédentaires doivent être libérés, sa décision sur ces points devant prendre la forme d'un complément au procès-verbal de séquestre.</w:t>
      </w:r>
    </w:p>
    <w:p>
      <w:r>
        <w:t>Quant au grief tiré par la plaignante de l'art. 95 al. 3 LP, il tombe en l'état à faux puisque l'on ignore à ce jour si d'autres avoirs ont été bloqués en exécution des séquestres. Cette disposition devrait toutefois être prise en considération par l'Office s'il devait ressortir des informations fournies le moment venu par les établissements bancaires concernés que ces séquestres ont porté sur d'autres actifs d'une valeur suffisante pour couvrir l'assiette du séquestre et n'ayant pas fait l'objet d'une revendication.</w:t>
      </w:r>
    </w:p>
    <w:p>
      <w:r>
        <w:rPr>
          <w:b/>
        </w:rPr>
        <w:t>E. 3</w:t>
      </w:r>
    </w:p>
    <w:p>
      <w:r>
        <w:t>La procédure de plainte est gratuite (art. 20a al. 2 ch. 5 LP et art. 61 al. 2 let. a OELP) et il ne peut être alloué aucuns dépens dans cette procédure (art. 62 al. 2 OELP). * * * * *</w:t>
      </w:r>
    </w:p>
    <w:p>
      <w:r>
        <w:t>- 8/8 -</w:t>
      </w:r>
    </w:p>
    <w:p>
      <w:r>
        <w:t>A/2657/2020-CS PAR CES MOTIFS, La Chambre de surveillance : A la forme : Déclare recevable la plainte formée le 3 septembre 2020 par A______ LTD contre la décision rendue le 24 août 2020 par l'Office cantonal des poursuites dans les procédures de séquestre n° 1______ et 2______. Au fond : L'admet. Invite l'Office cantonal des poursuites à procéder à l'estimation des actifs séquestrés sur le compte n° 3______ auprès de la banque H______ SA puis, s'il devait constater que leur valeur excède notablement l'assiette des séquestres n° 1______ et 2______ telle que fixée par ledit Office, à en limiter la portée en désignant les biens libérés. Siégeant : Monsieur Patrick CHENAUX, président; Madame Natalie OPPATJA et Monsieur Anthony HUGUENIN,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