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DCSO/455/2020 vom 3. Dezember 2020</w:t>
      </w:r>
    </w:p>
    <w:p>
      <w:r>
        <w:t>GE Cour de justice, 2020-12-03, FR</w:t>
      </w:r>
    </w:p>
    <w:p>
      <w:r>
        <w:rPr>
          <w:b/>
        </w:rPr>
        <w:t xml:space="preserve">Quelle: </w:t>
      </w:r>
      <w:r>
        <w:t>https://mcp.opencaselaw.ch/entscheid/ge_gerichte_DCSO_455_2020</w:t>
      </w:r>
    </w:p>
    <w:p>
      <w:r>
        <w:t>FR: GE_GERICHTE DCSO/455/2020 du 3 décembre 2020</w:t>
      </w:r>
    </w:p>
    <w:p>
      <w:r>
        <w:t>IT: GE_GERICHTE DCSO/455/2020 del 3 dicembre 2020</w:t>
      </w:r>
    </w:p>
    <w:p>
      <w:pPr>
        <w:pStyle w:val="Heading2"/>
      </w:pPr>
      <w:r>
        <w:t>Regeste</w:t>
      </w:r>
    </w:p>
    <w:p>
      <w:r>
        <w:t>Résumé: Recours au TF interjeté le 14.12.2020 par la Confédération suisse et l'Etat de Genève (5A_1042/2020)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w:t>
      </w:r>
    </w:p>
    <w:p>
      <w:r>
        <w:t>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(TSCHUMY, op. cit., n. 11 ad art. 106 LP).</w:t>
      </w:r>
    </w:p>
    <w:p>
      <w:r>
        <w:t>- 11/16 -</w:t>
      </w:r>
    </w:p>
    <w:p>
      <w:r>
        <w:t>A/1241/2020-CS</w:t>
      </w:r>
    </w:p>
    <w:p>
      <w:r>
        <w:t>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N 2 ad art. 106 LP).</w:t>
      </w:r>
    </w:p>
    <w:p>
      <w:r>
        <w:t>2.1.2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w:t>
      </w:r>
    </w:p>
    <w:p>
      <w:r>
        <w:t>Le débiteur n'est pas le "possesseur" exclusif du bien revendiqué lorsque le tiers revendiquant est le "possesseur" exclusif du bien revendiqué, lorsque le tiers revendiquant et le débiteur poursuivi ont la "copossession" dudit bien et lorsque le quart détenteur détient pour le compte du tiers revendiquant (BSK SchKG I – STAEHELIN, art. 108 n. 1, 4 à 6).</w:t>
      </w:r>
    </w:p>
    <w:p>
      <w:r>
        <w:t>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w:t>
      </w:r>
    </w:p>
    <w:p>
      <w:r>
        <w:t>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in SchKG II, n. 15 ad art. 107 LP et la jurisprudence citée).</w:t>
      </w:r>
    </w:p>
    <w:p>
      <w:r>
        <w:t>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w:t>
      </w:r>
    </w:p>
    <w:p>
      <w:r>
        <w:t>- 12/16 -</w:t>
      </w:r>
    </w:p>
    <w:p>
      <w:r>
        <w:t>A/1241/2020-CS</w:t>
      </w:r>
    </w:p>
    <w:p>
      <w:r>
        <w:rPr>
          <w:b/>
        </w:rPr>
        <w:t>E. 2.2</w:t>
      </w:r>
    </w:p>
    <w:p>
      <w:r>
        <w:t>Dans le cas d'espèce, il est constant que les avoirs revendiqués par les trois sociétés intimées, qu'il s'agisse de créances, de titres ou d'autres droits, sont déposés sur des comptes bancaires dont elles sont titulaires et sur lesquels leurs organes, ou les personnes qu'elles ont désignées à cet effet, disposent d'un pouvoir de signature individuel ou collectif. Les plaignantes n'ont pas allégué à cet égard, et n'ont pas davantage rendu vraisemblable, que le débiteur revêtirait la qualité d'organe de l'une ou l'autre de ces sociétés, ou qu'il disposerait sur l'un des trois comptes concernés d'un pouvoir de signature lui donnant la possibilité, seul ou avec un tiers, de disposer des avoirs qui y sont déposés. Il ne résulte de même pas du dossier, et les plaignantes ne l'allèguent pas, que le débiteur aurait été reconnu par l'une ou l'autre des deux banques auprès desquelles les comptes ont été ouverts comme en étant le bénéficiaire économique, ce que les sociétés intimées et le débiteur contestent au demeurant. Ces dernières disposent ainsi sur les avoirs revendiqués d'un pouvoir apparent de disposition immédiat et exclusif.</w:t>
      </w:r>
    </w:p>
    <w:p>
      <w:r>
        <w:t>A l'inverse, la maîtrise effective du débiteur sur les avoirs revendiqués, dont se prévalent les plaignants pour soutenir que ses droits paraissent mieux fondés, n'apparaît, à suivre leur argumentation, qu'indirect puisqu'il s'exercerait informellement, par le truchement d'un trust stipulé irrévocable et discrétionnaire. A cela s'ajoute qu'une telle maîtrise indirecte des valeurs patrimoniales séquestrées, tel que plaidée par les plaignants, se fonde sur le principe de la transparence (Durchgriff), dont l'application à un cas concret suppose réunies diverses conditions dont l'examen, sur la base des circonstances de l'espèce, excède le pouvoir d'examen des autorités de poursuite. Il en va ainsi à titre d'exemple de l'allégation – contestée – figurant dans les ordonnances de séquestre selon laquelle le débiteur pourrait "disposer dans les faits des avoirs de G______", dont les pièces à disposition de l'Office, ainsi que celles produites dans le cadre de la procédure de plainte, ne permettent pas d'apprécier le bien-fondé.</w:t>
      </w:r>
    </w:p>
    <w:p>
      <w:r>
        <w:t>C'est donc à juste titre que l'Office a retenu que les sociétés intimées bénéficiaient du meilleur droit apparent sur les avoirs – titres ou créances – déposés sur les comptes dont elles étaient titulaires en mains de la Banque E______ et de L______, avec pour conséquence que l'application de l'art. 108 al. 1 et 2 était justifiée. Les plaintes seront dès lors rejetées sur ce point.</w:t>
      </w:r>
    </w:p>
    <w:p>
      <w:r>
        <w:t>Afin d'assurer un déroulement correct de la procédure de revendication, il sera toutefois ordonné à l'Office de rectifier les procès-verbaux de séquestre par l'indication précise des avoirs revendiqués par lesdites sociétés, soit le compte n° 8______ auprès de la Banque E______ pour D______, le compte n° 4______ auprès de la Banque E______ pour B______ et le compte n° 25______ auprès de L______ pour A______ HOLDING.</w:t>
      </w:r>
    </w:p>
    <w:p>
      <w:r>
        <w:rPr>
          <w:b/>
        </w:rPr>
        <w:t>E. 2.3</w:t>
      </w:r>
    </w:p>
    <w:p>
      <w:r>
        <w:t>La Banque E______ fait valoir un droit préférable sur trois ensembles d'actifs en se fondant sur trois prétentions distinctes. Il convient d'examiner, pour chacune de ces trois revendications, si elle a rendu son droit vraisemblable.</w:t>
      </w:r>
    </w:p>
    <w:p>
      <w:r>
        <w:t>- 13/16 -</w:t>
      </w:r>
    </w:p>
    <w:p>
      <w:r>
        <w:t>A/1241/2020-CS</w:t>
      </w:r>
    </w:p>
    <w:p>
      <w:r>
        <w:rPr>
          <w:b/>
        </w:rPr>
        <w:t>E. 2.3.1</w:t>
      </w:r>
    </w:p>
    <w:p>
      <w:r>
        <w:t>La première revendication porte sur l'équivalent en francs suisses d'une créance en compte courant à l'encontre de D_____ de 27'844'674.01 USD au 28 mai 2019, date de l'exécution du séquestre, augmentée de frais et d'intérêts.</w:t>
      </w:r>
    </w:p>
    <w:p>
      <w:r>
        <w:t>L'existence et le montant de cette créance sont établis, au stade de l'apparence de bien-fondé du droit invoqué, par la production d'un relevé du compte n° 8______ dont D______ est titulaire. Contrairement à ce que soutiennent les plaignants, il n'y a en effet pas lieu, au stade de l'application des art. 107 et 108 LP, de se prononcer plus avant sur les diverses opérations de débit et de crédit ayant conduit à l'existence, à la date du séquestre, d'un solde négatif. Dans la mesure par ailleurs où la créance invoquée ne concerne qu'une rubrique (compte USD) de la relation n° 8______, il n'est pas contradictoire de la part de la Banque E______ de faire valoir un droit de gage sur les autres valeurs conservées par elle dans le cadre de cette même relation. La question de savoir si la banque n'aurait pas respecté un séquestre pénal antérieur ne relève pour sa part pas de la compétence de la Chambre de céans.</w:t>
      </w:r>
    </w:p>
    <w:p>
      <w:r>
        <w:t>L'existence d'un droit de gage sur les avoirs déposés sur le compte n° 8______ résulte pour sa part, toujours sous l'angle de l'apparence de bien-fondé du droit invoqué, de l'art. 9 des Conditions générales de la Banque E______, signées par D______.</w:t>
      </w:r>
    </w:p>
    <w:p>
      <w:r>
        <w:t>La plainte est donc mal fondée en ce qui concerne cette revendication. L'assiette de la revendication, soit le montant de la créance à hauteur de laquelle un droit préférable est invoqué, résulte par ailleurs de manière suffisamment explicite des ordonnances de séquestre, qu'il n'y a donc pas lieu de rectifier sur ce point.</w:t>
      </w:r>
    </w:p>
    <w:p>
      <w:r>
        <w:rPr>
          <w:b/>
        </w:rPr>
        <w:t>E. 2.3.2</w:t>
      </w:r>
    </w:p>
    <w:p>
      <w:r>
        <w:t>La deuxième revendication porte sur l'équivalent en francs suisses d'une créance de 5'762'955.02 GBP à la date de l'exécution du séquestre dont la Banque E______ estime être titulaire à l'encontre de J______. Selon ses explications, ladite société se serait en effet engagée en 2017 à couvrir ce montant, correspondant au solde débiteur du compte n° 12______ – dont le titulaire n'est pas indiqué – ouvert dans les livres de la banque.</w:t>
      </w:r>
    </w:p>
    <w:p>
      <w:r>
        <w:t>Pour fonder l'existence de cette créance, la Banque E_______ a produit un relevé de portefeuille du compte n° 12______ au 28 mai 2019, faisant état du montant allégué comme garanti, ainsi qu'une lettre – qualifiée d'"engagement" – que lui a adressée J______ le 23 mars 2017. Ce courrier ne contient cependant que l'instruction à la banque de vendre un certain nombre de titres détenus par ladite société et de virer le produit de cette vente sur un compte tiers dont les références sont caviardées. Dans sa déclaration de revendication puis dans ses déterminations dans le cadre de la procédure de plainte, la Banque E_____ a exposé que cette instruction n'avait pas encore pu être exécutée "pour des raisons réglementaires" non explicitées.</w:t>
      </w:r>
    </w:p>
    <w:p>
      <w:r>
        <w:t>Ces pièces n'établissent en aucune manière, sous l'angle de l'apparence du bien- fondé du droit invoqué, l'existence d'une créance de la Banque E_______ à</w:t>
      </w:r>
    </w:p>
    <w:p>
      <w:r>
        <w:t>- 14/16 -</w:t>
      </w:r>
    </w:p>
    <w:p>
      <w:r>
        <w:t>A/1241/2020-CS l'encontre de J______. Il n'est en particulier pas allégué que la banque se serait personnellement portée garante à l'égard du titulaire – inconnu – du compte sur lequel aurait dû être versé, en 2017, le produit de la vente des titres de ce versement, dont rien ne permet au demeurant de déterminer le montant. Aucune relation entre l'ordre de vente du 23 mars 2017 et le compte n° 12______ n'est par ailleurs établie.</w:t>
      </w:r>
    </w:p>
    <w:p>
      <w:r>
        <w:t>La plainte est donc, à cet égard, bien fondée : les procès-verbaux de séquestre seront annulés sur ce point et il sera ordonné à l'Office d'appliquer l'art. 107 LP au droit préférable invoqué par la Banque E______ sur le compte n° 6______ dont J______ est titulaire auprès d'elle.</w:t>
      </w:r>
    </w:p>
    <w:p>
      <w:r>
        <w:rPr>
          <w:b/>
        </w:rPr>
        <w:t>E. 2.3.3</w:t>
      </w:r>
    </w:p>
    <w:p>
      <w:r>
        <w:t>Dans sa déclaration de revendication du 12 juin 2019, la Banque E______ a également invoqué un droit préférable sur les comptes n° 7______, 14______, 15______, 16______, 17______, 18______, 19______, 20______, 21______, 22______, 23______ et 24______ en ses livres, paraissant le fonder sur le fait que C______ aurait été solidairement responsable, aux côtés de J______, de la dette évoquée sous chiffre 2.3.2 ci-dessus. Dans la mesure toutefois où l'existence de cette dette n'a pas été établie, sous l'angle de l'apparence du bien-fondé du droit invoqué, qu'aucune pièce attestant de la solidarité de C______ n'a été produite et que la Banque E______ n'a en rien explicité dans la procédure de plainte en quoi elle aurait disposé d'un droit préférable sur ces comptes, l'Office aurait dû, là aussi, appliquer l'art. 107 LP.</w:t>
      </w:r>
    </w:p>
    <w:p>
      <w:r>
        <w:t>La plainte sera donc admise sur ce point également.</w:t>
      </w:r>
    </w:p>
    <w:p>
      <w:r>
        <w:rPr>
          <w:b/>
        </w:rPr>
        <w:t>E. 3</w:t>
      </w:r>
    </w:p>
    <w:p>
      <w:r>
        <w:t>En résumé, la plainte doit être partiellement admise et les procès-verbaux de séquestre rectifiés et corrigés. L'Office sera par ailleurs invité à fixer aux plaignants, ainsi le cas échéant qu'à la Banque E______ (art. 107 al. 2 et 5 LP), un (nouveau) délai de vingt jours pour saisir le juge compétent.</w:t>
      </w:r>
    </w:p>
    <w:p>
      <w:r>
        <w:t>La requête de levée de l'effet suspensif formée par A______ HOLDING et B______ devient pour sa part sans objet avec le prononcé de la présente décision.</w:t>
      </w:r>
    </w:p>
    <w:p>
      <w:r>
        <w:rPr>
          <w:b/>
        </w:rPr>
        <w:t>E. 4</w:t>
      </w:r>
    </w:p>
    <w:p>
      <w:r>
        <w:t>La procédure de plainte est gratuite (art. 20a al. 2 ch. 5 LP et art. 61 al. 2 let. a OELP) et il ne peut être alloué aucuns dépens dans cette procédure (art. 62 al. 2 OELP). * * * * *</w:t>
      </w:r>
    </w:p>
    <w:p>
      <w:r>
        <w:t>- 15/16 -</w:t>
      </w:r>
    </w:p>
    <w:p>
      <w:r>
        <w:t>A/1241/2020-CS PAR CES MOTIFS, La Chambre de surveillance : A la forme : Déclare recevables les plaintes formées le 29 avril 2020 par l'Etat de Genève et la Confédération suisse contre les procès-verbaux de séquestre n° 1______ et n° 2______ établis le 20 avril 2020 par l'Office cantonal des poursuites. Au fond : Ordonne à l'Office cantonal des poursuites de rectifier lesdits procès-verbaux par l'indication précise des valeurs patrimoniales revendiquées par D______ LIMITED, B______ et A______ SA, soit pour D______ LIMITED celles déposées sur le compte n° 8______ auprès de E______ SA, pour B______ celles déposées sur le compte n° 4______ auprès de E______ SA et, pour A______ SA, celles déposées sur le compte n° 25______ auprès de L______ AG. Annule les procès-verbaux de séquestre en ce que l'Office cantonal des poursuites a fixé à l'Etat de Genève et à la Confédération suisse un délai de vingt jours, au sens de l'art. 108 al. 2 LP, pour ouvrir action en contestation de la revendication d'un droit de gage à hauteur de 5'745'466 fr. 83 formulée par E______ SA sur les avoirs déposés sur les comptes n° 6______, 7______, 14______, 15______, 16______, 17______, 18______, 19______, 20______, 21______, 22______, 23______ et 24______ ouverts en ses livres. Invite l'Office cantonal des poursuites à procéder conformément à l'art. 107 LP en relation avec cette revendication. Rejette les plaintes pour le surplus. Invite en conséquence l'Office cantonal des poursuites à fixer à l'Etat de Genève et à la Confédération suisse un nouveau délai de vingt jours pour agir en contestation de revendications devant le juge compétent. Siégeant : Monsieur Patrick CHENAUX, président; Madame Natalie OPPATJA et Monsieur Anthony HUGUENIN, juges assesseur(e)s; Madame Christel HENZELIN, greffière.</w:t>
      </w:r>
    </w:p>
    <w:p>
      <w:r>
        <w:t>Le président :</w:t>
      </w:r>
    </w:p>
    <w:p>
      <w:r>
        <w:t>Patrick CHENAUX</w:t>
      </w:r>
    </w:p>
    <w:p>
      <w:r>
        <w:t>La greffière :</w:t>
      </w:r>
    </w:p>
    <w:p>
      <w:r>
        <w:t>Christel HENZELIN</w:t>
      </w:r>
    </w:p>
    <w:p>
      <w:r>
        <w:t>- 16/16 -</w:t>
      </w:r>
    </w:p>
    <w:p>
      <w:r>
        <w:t>A/1241/2020-CS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