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DCSO/454/2022 vom 10. November 2022</w:t>
      </w:r>
    </w:p>
    <w:p>
      <w:r>
        <w:t>GE Cour de justice, 2022-11-10, FR</w:t>
      </w:r>
    </w:p>
    <w:p>
      <w:r>
        <w:rPr>
          <w:b/>
        </w:rPr>
        <w:t xml:space="preserve">Quelle: </w:t>
      </w:r>
      <w:r>
        <w:t>https://mcp.opencaselaw.ch/entscheid/ge_gerichte_DCSO_454_2022</w:t>
      </w:r>
    </w:p>
    <w:p>
      <w:r>
        <w:t>FR: GE_GERICHTE DCSO/454/2022 du 10 novembre 2022</w:t>
      </w:r>
    </w:p>
    <w:p>
      <w:r>
        <w:t>IT: GE_GERICHTE DCSO/454/2022 del 10 novembre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138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qui respecte les exigences de forme résultant de la loi, a en l'occurrence été formée en temps utile par une personne susceptible de subir une atteinte à ses intérêts juridiquement protégés contre une décision – libération d'actifs séquestrés contre fourniture de sûretés en application de l'art. 277 LP – pouvant être remise en cause par cette voie.</w:t>
      </w:r>
    </w:p>
    <w:p>
      <w:r>
        <w:t>Contrairement à ce que soutient l'Office, il ne peut être considéré que la plainte serait exclusivement dirigée contre l'estimation des tapis résultant du procès-</w:t>
      </w:r>
    </w:p>
    <w:p>
      <w:r>
        <w:t>- 4/7 -</w:t>
      </w:r>
    </w:p>
    <w:p>
      <w:r>
        <w:t>A/2187/2022-CS verbal de séquestre et serait donc tardive. On comprend en effet de l'argumentation, certes sommaire, de la plaignante qu'en faisant valoir que la valeur réelle de ces tapis serait en réalité supérieure elle s'en prend non seulement à l'estimation qu'en a faite l'Office dans le cadre du procès-verbal de séquestre, son procédé étant à cet égard effectivement irrecevable pour cause de tardiveté, mais également à la prise en compte sans autre examen de cette estimation dans le cadre de l'application de l'art. 277 LP.</w:t>
      </w:r>
    </w:p>
    <w:p>
      <w:r>
        <w:t>La plainte est donc recevable.</w:t>
      </w:r>
    </w:p>
    <w:p>
      <w:r>
        <w:rPr>
          <w:b/>
        </w:rPr>
        <w:t>E. 2.1</w:t>
      </w:r>
    </w:p>
    <w:p>
      <w:r>
        <w:t>L'estimation de la valeur des biens et son indication dans le procès-verbal de séquestre (cf. art. 276 al. 1 LP) est une condition de validité de l'exécution du séquestre (ATF 113 III 104 consid. 4). Le fonctionnaire procède à cette estimation, au besoin en s'adjoignant des experts (art. 97 al. 1 LP applicable par analogie en vertu du renvoi de l'art. 275 LP).</w:t>
      </w:r>
    </w:p>
    <w:p>
      <w:r>
        <w:t>L'estimation a pour but de déterminer l'étendue de la garantie, l'office étant tenu de ne séquestrer que les biens nécessaires pour satisfaire le créancier séquestrant en capital, intérêts et frais (art. 97 al. 2 LP applicable par analogie en vertu du renvoi de l'art. 275 LP). Elle permet aussi de vérifier qu'il ne s'agit pas de biens sans valeur de réalisation au sens de l'art. 92 al. 2 LP (par analogie sur renvoi de l'art. 275 LP). Elle sert en outre à fixer le montant des sûretés à fournir par le débiteur pour recouvrer la libre disposition des droits patrimoniaux séquestrés (art. 277 LP; arrêt du Tribunal fédéral 5A_530/2019 du 3 décembre 2019 consid. 3.1.2; STOFFEL/CHABLOZ, in CR LP, N 14 ad art. 276 LP). L'estimation doit déterminer la valeur vénale présumée des biens à réaliser, à savoir le produit prévisible de la vente, mais sans devoir être "la plus élevée possible". Elle doit tenir compte de tous les éléments qui pourraient influer sur l'adjudication ainsi que des frais de poursuite, lesquels comprennent notamment les frais d'enlèvement et d'entreposage ainsi que les frais d'une éventuelle expertise (ATF 145 III 487 consid. 3.1.2 et 3.1.3). L'office doit s'adjoindre un expert si l'estimation des biens exige des connaissances spéciales qu'il ne possède pas (ATF 145 III 487 consid. 3.1.3), ce qui est notamment le cas en présence d'oeuvres d'art, tel que des tableaux ou statues (ATF 93 III 20 consid. 4). Le recours à un expert peut toutefois, dans certaines circonstances, apparaître inutile, voire déraisonnable (arrêt du Tribunal fédéral 5A_230/2019 précité consid. 3.1.3), comme par exemple lorsque l'expertise considérée engendre des coûts disproportionnés (ATF 145 III 487 consid. 3.1.3).</w:t>
      </w:r>
    </w:p>
    <w:p>
      <w:r>
        <w:rPr>
          <w:b/>
        </w:rPr>
        <w:t>E. 2.2</w:t>
      </w:r>
    </w:p>
    <w:p>
      <w:r>
        <w:t>L'art. 277 LP prévoit que les biens séquestrés sont laissés à la libre disposition du débiteur à charge de les représenter en nature ou en valeur en cas de saisie ou de déclaration de faillite et de fournir à cet effet des sûretés.</w:t>
      </w:r>
    </w:p>
    <w:p>
      <w:r>
        <w:t>Le but des sûretés selon l'art. 277 LP est de garantir que soit les biens séquestrés soit des valeurs équivalentes pourront être saisis dans la poursuite consécutive au séquestre ou tomberont dans la masse de l'actif en cas de faillite. Par le séquestre, le créancier veut seulement s'assurer que plus tard, lorsqu'il poursuivra son débiteur, il trouvera des biens à réaliser. Ainsi, la loi laisse au débiteur la libre</w:t>
      </w:r>
    </w:p>
    <w:p>
      <w:r>
        <w:t>- 5/7 -</w:t>
      </w:r>
    </w:p>
    <w:p>
      <w:r>
        <w:t>A/2187/2022-CS disposition de ses biens, du moment que plus tard, des moyens suffisants pour payer la créance ayant fondé le séquestre ne manqueront pas (ATF 116 III 35 consid. 3b p. 40 et les arrêts cités).</w:t>
      </w:r>
    </w:p>
    <w:p>
      <w:r>
        <w:t>Compte tenu du but des sûretés, il importe que les actifs soient individualisés et dûment estimés, car le montant des sûretés fixé par l'office des poursuites doit correspondre à la valeur estimée des biens séquestrés (arrêt du Tribunal fédéral 7B.77/2006 du 22 août 2006 consid. 2).</w:t>
      </w:r>
    </w:p>
    <w:p>
      <w:r>
        <w:t>Pour fixer le montant des sûretés, l'office des poursuites se fonde en principe sur l'estimation faite lors de l'exécution du séquestre (art. 275 et 97 al. 1 LP). Il ne saurait toutefois s'en contenter purement et simplement si elle est imprécise, faute de reposer sur des éléments bien déterminés, ou si la restitution des biens séquestrés moyennant fourniture de sûretés est requise plusieurs mois, voire plusieurs années, après l'exécution du séquestre, et surtout s'il s'agit de biens dont le cours est variable ou qui prennent de la valeur nominale en période de dépréciation monétaire; dans ces cas, l'office est appelé à procéder à une nouvelle estimation (arrêt du Tribunal fédéral 7B.77/2006 précité, consid. 2 et références citées). La nécessité de procéder à une nouvelle estimation des biens dont le débiteur sollicite la libération contre versement de sûretés a ainsi été admise dans un cas où l'Office n'avait procédé, lors de l'établissement du procès-verbal de séquestre, qu'à une estimation approximative que le créancier séquestrant n'avait alors pas de raison de contester dans la mesure où, la valeur globale des biens séquestrés étant inférieure au montant de la créance et des accessoires, la question d'une couverture excessive ne se posant donc pas (ATF 82 III 119 consid. 3).</w:t>
      </w:r>
    </w:p>
    <w:p>
      <w:r>
        <w:rPr>
          <w:b/>
        </w:rPr>
        <w:t>E. 2.3</w:t>
      </w:r>
    </w:p>
    <w:p>
      <w:r>
        <w:t>Dans le cas d'espèce, les biens dont le débiteur a sollicité la libération moyennant fourniture de sûretés sont des tapis, soit des objets dont la valeur est notoirement susceptible de varier considérablement selon les caractéristiques (dimensions, matériaux, provenance, date et qualité de la confection, motifs, rareté, etc.). Quand bien même il ne s'agit pas d'œuvres d'art à proprement parler, leur estimation peut dans certains cas, à l'instar par exemple de meubles anciens, requérir des connaissances particulières justifiant le recours à un expert.</w:t>
      </w:r>
    </w:p>
    <w:p>
      <w:r>
        <w:t>Dans le procès-verbal de séquestre, les tapis ne sont décrits que par leurs dimensions et leurs couleurs. Leur valeur a été estimée par un collaborateur de l'Office disposant certes d'une expérience en matière de vente aux enchères d'objets mobiliers, mais dont rien ne permet d'admettre qu'il serait au bénéfice de connaissances étendues en matière de tapis. Les critères pris en considération en vue de l'estimation ne résultent pas du procès-verbal de séquestre, et l'on ignore si le collaborateur de l'Office ayant procédé à cette estimation a eu l'occasion d'examiner directement les biens séquestrés ou s'est déterminé sur la base de photographies. Il y a donc lieu d'admettre que l'estimation retenue dans le procès- verbal de séquestre revêt un caractère approximatif.</w:t>
      </w:r>
    </w:p>
    <w:p>
      <w:r>
        <w:t>Comme c'était le cas dans l'affaire ayant donné lieu à l'arrêt ATF 82 III 119 précité, une telle estimation approximative pouvait se justifier en l'espèce au vu des coûts qu'aurait entraînés une évaluation plus précise, par exemple par expertise, alors qu'il apparaissait d'emblée que la créance pour laquelle le séquestre avait été ordonné n'était pas couverte par les actifs séquestrés, de telle</w:t>
      </w:r>
    </w:p>
    <w:p>
      <w:r>
        <w:t>- 6/7 -</w:t>
      </w:r>
    </w:p>
    <w:p>
      <w:r>
        <w:t>A/2187/2022-CS sorte que l'hypothèse d'une couverture excessive au regard de l'art. 97 al. 2 LP n'entrait pas en considération. Cette même situation de sous-couverture avait pour conséquence que la plaignante, créancière séquestrante, n'avait, à ce moment, a priori pas d'intérêt particulier à obtenir la réévaluation de l'estimation par hypothèse trop basse des tapis par la voie d'une plainte contre le procès-verbal de saisie.</w:t>
      </w:r>
    </w:p>
    <w:p>
      <w:r>
        <w:t>Il résulte de ce qui précède que l'Office ne pouvait, lorsqu'il s'est agi de fixer les sûretés devant être fournies par l'intimé pour obtenir la libération des tapis, se contenter de reprendre purement et simplement l'estimation approximative figurant dans le procès-verbal de séquestre, sous peine de courir le risque que les sûretés versée ne soient pas équivalentes à la valeur des biens libérés.</w:t>
      </w:r>
    </w:p>
    <w:p>
      <w:r>
        <w:t>La plainte est donc bien fondée. La décision contestée sera en conséquence annulée et l'Office invité à procéder, en vue de l'application de l'art. 277 LP, à une nouvelle estimation des tapis. Conformément à l'art. 68 LP, il pourra demander à la plaignante d'avancer les frais relatifs à cette nouvelle estimation, y compris les frais d'expertise au cas où l'Office, en vertu de son pouvoir d'appréciation, considérerait que le recours à un expert se justifie.</w:t>
      </w:r>
    </w:p>
    <w:p>
      <w:r>
        <w:rPr>
          <w:b/>
        </w:rPr>
        <w:t>E. 3</w:t>
      </w:r>
    </w:p>
    <w:p>
      <w:r>
        <w:t>février 2022, après avoir procédé à une nouvelle estimation de la valeur de ceux-ci.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