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DCSO/450/2024 vom 19. September 2024</w:t>
      </w:r>
    </w:p>
    <w:p>
      <w:r>
        <w:t>GE Cour de justice, 2024-09-19, FR</w:t>
      </w:r>
    </w:p>
    <w:p>
      <w:r>
        <w:rPr>
          <w:b/>
        </w:rPr>
        <w:t xml:space="preserve">Quelle: </w:t>
      </w:r>
      <w:r>
        <w:t>https://mcp.opencaselaw.ch/entscheid/ge_gerichte_DCSO_450_2024</w:t>
      </w:r>
    </w:p>
    <w:p>
      <w:r>
        <w:t>FR: GE_GERICHTE DCSO/450/2024 du 19 septembre 2024</w:t>
      </w:r>
    </w:p>
    <w:p>
      <w:r>
        <w:t>IT: GE_GERICHTE DCSO/450/2024 del 19 settembre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Aussi longtemps que le partage n'a pas eu lieu, qu'une indivision contractuelle n'a pas été constituée ou qu'une liquidation officielle n'a pas été ordonnée, la succession est poursuivie au lieu où le défunt pouvait être lui-même poursuivi à l'époque de son décès et selon le mode qui lui était applicable (art. 49 LP).</w:t>
      </w:r>
    </w:p>
    <w:p>
      <w:r>
        <w:t>L'art. 49 consacre une exception aux principes généralement applicables, en ce sens que la succession non partagée, alors même qu'elle n'a pas la personnalité juridique, se voit octroyer la qualité de partie et la légitimation passive sur le plan du droit des poursuites (ATF 146 III 106 consid. 3.4.1).</w:t>
      </w:r>
    </w:p>
    <w:p>
      <w:r>
        <w:t>2.1.2 Le poursuivant doit énoncer dans la réquisition de poursuite le nom de la succession et le nom du représentant désigné ou, à défaut d'un représentant connu du poursuivant, le nom d'un des héritiers auquel la notification du commandement de payer doit être faite (art. 67 al. 1 ch. 2 in fine et 65 al. 3 LP; Circulaire n° 16 du Tribunal fédéral du 3 avril 1925 concernant les communautés héréditaires et les indivisions; Formule n° 1, explications pt 2; Ruedin, Commentaire Romand, Poursuite et faillite, 2005, n° 21 ad art. 67 LP).</w:t>
      </w:r>
    </w:p>
    <w:p>
      <w:r>
        <w:t>C'est le créancier qui opère ce choix au début de la poursuite, lors de la rédaction de la réquisition de poursuite, étant précisé que l'héritier ainsi désigné doit être considéré comme le représentant de la succession pendant toute la durée de la procédure. En autorisant la notification à l'un des héritiers, la loi présume que celui-ci informera tous les cohéritiers et prendra toutes les mesures nécessaires à la sauvegarde des droits de la succession; peu importe si, dans les faits, cet héritier néglige ce devoir. Cette liberté de choix connaît sa limite dans l'abus de droit que commet le créancier qui, conscient du conflit existant entre les héritiers, choisit délibérément de faire notifier un commandement à un héritier dont il présume qu'il ne fera pas opposition (REYMOND, La poursuite contre une succession, in JdT 2009 II 46; JEANNERET, LEMBO, Commentaire Romand, Poursuite et faillite, 2005, n° 20 ad art. 65 LP et les références citées, notamment ATF 113 III 79, JdT 1990 II 8; 107 III 7 c. 1, JdT 1983 II 35; GILLIERON, Commentaire de la loi fédérale sur la poursuite pour dettes et la faillite, n° 70 et 71 ad art. 65 LP).</w:t>
      </w:r>
    </w:p>
    <w:p>
      <w:r>
        <w:t>- 5/8 -</w:t>
      </w:r>
    </w:p>
    <w:p>
      <w:r>
        <w:t>A/423/2024-CS</w:t>
      </w:r>
    </w:p>
    <w:p>
      <w:r>
        <w:t>2.1.3 Le débiteur domicilié à l'étranger qui a élu domicile en Suisse pour l'exécution d'une obligation peut y être poursuivi pour cette dette (art. 50 al. 2 LP). L'élection d'un for de poursuite est une manifestation de volonté qui s'interprète selon les mêmes principes que les autres contrats. 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La simple convention quant au lieu d'exécution ou de paiement n'implique pas élection de for d'exécution forcée, sauf en ce qui concerne les lettres de change ou les titres au porteur. De la même manière, ni l'élection d'un for judiciaire, ni la simple désignation d'un domicile aux fins de notification des actes judiciaires dans un procès civil (ou pénal) ne permettent de présumer l'existence d'une élection de for de poursuite (Arrêt du Tribunal fédéral 5A_721/2020 du 8 octobre 2020 consid. 2.1.1; DCSO/150/2018 du 1er mars 2018, consid. 2.1.1 et 2.1.3; Schmid in SchKG I (2021) n. 39 ad 50). 2.1.4 Lorsqu'un défaut affecte la réquisition de poursuite, l'office des poursuites peut refuser d'y donner suite, en donnant le cas échéant au poursuivant un délai pour remédier au vice. Lorsque le défaut n'entraîne pas la nullité de la réquisition, la jurisprudence prescrit aux offices des poursuites d'impartir au poursuivant un délai aux fins de rectifier ou compléter les indications viciées, ou de lui demander les renseignements nécessaires (ATF 141 III 173 consid. 2.4).</w:t>
      </w:r>
    </w:p>
    <w:p>
      <w:r>
        <w:t>2.2.1 En l'espèce, le défunt a quitté la Suisse pour s'installer en Italie avant juin 2021. Il a accepté de se soumettre à une exécution forcée en Suisse au lieu d'exécution à Genève, vu la clause d'élection de for de poursuites convenue dans les documents contractuels produits par la créancière poursuivante. Il pouvait en conséquence être poursuivi à Genève par la plaignante pour les dettes résultant de leur relation bancaire en vertu de l'art. 50 al. 2 LP.</w:t>
      </w:r>
    </w:p>
    <w:p>
      <w:r>
        <w:t>Il en va de même pour sa succession en application de l'art. 49 LP, de sorte qu'il existe un for de poursuite à Genève.</w:t>
      </w:r>
    </w:p>
    <w:p>
      <w:r>
        <w:t>2.2.2 L'Office a refusé de donner suite à la réquisition de poursuite au motif que la plaignante n'avait désigné aucun représentant ou héritier de la succession auprès duquel la notification du commandement de payer devait être effectuée.</w:t>
      </w:r>
    </w:p>
    <w:p>
      <w:r>
        <w:t>La plaignante ne saurait être suivie lorsqu'elle soutient que ces indications n'étaient pas nécessaires et que les actes de la poursuite dirigée contre l'hoirie devaient être notifiés en son propre siège compte tenu de la clause d'élection de domicile. Les dispositions contractuelles contiennent en effet une élection de for de poursuite : elles ne constituent en revanche ni n'impliquent une élection de domicile aux fins de notification des actes de poursuite en mains de la plaignante. L'hoirie peut ainsi certes être poursuivie à Genève sur la base de la prorogation de for convenue entre le défunt et la créancière poursuivante, mais les actes de</w:t>
      </w:r>
    </w:p>
    <w:p>
      <w:r>
        <w:t>- 6/8 -</w:t>
      </w:r>
    </w:p>
    <w:p>
      <w:r>
        <w:t>A/423/2024-CS poursuite n'en devront pas moins lui être notifiés en mains d'un représentant ou d'un héritier.</w:t>
      </w:r>
    </w:p>
    <w:p>
      <w:r>
        <w:t>C'est en conséquence à raison que l'Office a refusé de donner suite à la réquisition de poursuite dirigée contre l'hoirie après avoir invité la plaignante à lui communiquer les coordonnées d'un représentant ou d'un héritier de l'hoirie.</w:t>
      </w:r>
    </w:p>
    <w:p>
      <w:r>
        <w:t>Cela étant, dans la mesure où la plaignante a mentionné les noms de trois héritiers du défunt dans son courrier du 28 novembre 2023 et qu'elle a, dans le cadre de sa plainte auprès de la Chambre de céans, désigné G______, épouse du défunt domiciliée Via 3______ no. ______, Piano 2, [code postal] J______, Italie, comme héritière représentant l'hoirie, il se justifie d'annuler la décision querellée et d'inviter l'Office à procéder à la notification du commandement de payer dans la poursuite dirigée à l'encontre de l'hoirie de feu B______ auprès de G______, domiciliée Via 3______ no. ______, Piano 2, [code postal] J______ (Italie).</w:t>
      </w:r>
    </w:p>
    <w:p>
      <w:r>
        <w:t>La plainte doit ainsi être partiellement admise. La décision contestée sera donc annulée, ce qui emporte l'annulation des frais qui lui sont liés, et l'Office sera en joint à procéder dans le sens de ce qui précède.</w:t>
      </w:r>
    </w:p>
    <w:p>
      <w:r>
        <w:rPr>
          <w:b/>
        </w:rPr>
        <w:t>E. 3</w:t>
      </w:r>
    </w:p>
    <w:p>
      <w:r>
        <w:t>La procédure devant l'autorité de surveillance est gratuite (art. 20a al. 2 ch. 5 LP; art. 61 al. 2 let. a OELP) et ne donne pas lieu à l'allocation de dépens (art. 62 al. 2 OELP). * * * * *</w:t>
      </w:r>
    </w:p>
    <w:p>
      <w:r>
        <w:t>- 7/8 -</w:t>
      </w:r>
    </w:p>
    <w:p>
      <w:r>
        <w:t>A/423/2024-CS</w:t>
      </w:r>
    </w:p>
    <w:p>
      <w:r>
        <w:t>PAR CES MOTIFS, La Chambre de surveillance :</w:t>
      </w:r>
    </w:p>
    <w:p>
      <w:r>
        <w:t>A la forme : Déclare recevable la plainte formée le 5 février 2024 par A______ contre la décision de rejet de la réquisition de poursuite rendue par l'Office le 23 janvier 2024 et la facture n° 4______ de frais du même jour. Au fond : L'admet partiellement. Annule cette décision et la facture y relative. Ordonne à l'Office cantonal des poursuites de procéder à la notification du commandement de payer dans la poursuite dirigée à l'encontre de l'hoirie de feu B______ auprès de G______, domiciliée Via 3______ no. ______, Piano 2, [code postal] J______ (Italie). Déboute A______ de toutes autres conclusions. Siégeant : Madame Ursula ZEHETBAUER GHAVAMI, présidente; Madame Natalie OPPATJA et Monsieur Denis KELLER, juges assesseurs; Madame Elise CAIRUS, greffière.</w:t>
      </w:r>
    </w:p>
    <w:p>
      <w:r>
        <w:t>La présidente :</w:t>
      </w:r>
    </w:p>
    <w:p>
      <w:r>
        <w:t>Ursula ZEHETBAUER GHAVAMI</w:t>
      </w:r>
    </w:p>
    <w:p>
      <w:r>
        <w:t>La greffière :</w:t>
      </w:r>
    </w:p>
    <w:p>
      <w:r>
        <w:t>Elise CAIRUS</w:t>
      </w:r>
    </w:p>
    <w:p>
      <w:r>
        <w:t>- 8/8 -</w:t>
      </w:r>
    </w:p>
    <w:p>
      <w:r>
        <w:t>A/423/2024-CS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