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DCSO/450/2022 vom 10. November 2022</w:t>
      </w:r>
    </w:p>
    <w:p>
      <w:r>
        <w:t>GE Cour de justice, 2022-11-10, FR</w:t>
      </w:r>
    </w:p>
    <w:p>
      <w:r>
        <w:rPr>
          <w:b/>
        </w:rPr>
        <w:t xml:space="preserve">Quelle: </w:t>
      </w:r>
      <w:r>
        <w:t>https://mcp.opencaselaw.ch/entscheid/ge_gerichte_DCSO_450_2022</w:t>
      </w:r>
    </w:p>
    <w:p>
      <w:r>
        <w:t>FR: GE_GERICHTE DCSO/450/2022 du 10 novembre 2022</w:t>
      </w:r>
    </w:p>
    <w:p>
      <w:r>
        <w:t>IT: GE_GERICHTE DCSO/450/2022 del 10 novembre 2022</w:t>
      </w:r>
    </w:p>
    <w:p>
      <w:pPr>
        <w:pStyle w:val="Heading2"/>
      </w:pPr>
      <w:r>
        <w:t>Regeste</w:t>
      </w:r>
    </w:p>
    <w:p>
      <w:r>
        <w:t>Résumé: Recours au TF interjeté par le débiteur le 24.11.2022, déclaré irrecevable par ATF du 04.07.2023 (5A_905/2022)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Aux termes de l'art. 88 LP, lorsque la poursuite n'est pas suspendue par l'opposition ou par un jugement, le créancier peut requérir la continuation de la poursuite.</w:t>
      </w:r>
    </w:p>
    <w:p>
      <w:r>
        <w:t>2.1.2 La procédure sommaire (art. 252 à 256 CPC) est applicable aux procédures tendant au prononcé de la mainlevée définitive de l'opposition formée à un commandement de payer, au sens de l'art. 80 LP (art. 251 let. a CPC).</w:t>
      </w:r>
    </w:p>
    <w:p>
      <w:r>
        <w:t>La décision sur mainlevée peut être contestée par la voie d'un recours au sens des art. 219 ss. CPC (art. 319 let. a CPC cum art. 309 let. b ch. 3 CPC) dans un délai de dix jours courant dès sa notification (art. 321 al. 2 CPC). Un tel recours ne suspend ni la force de chose jugée ni le caractère exécutoire de la décision attaquée (art. 325 al. 1 CPC), l'instance de recours conservant toutefois la possibilité de suspendre le caractère exécutoire (art. 325 al. 2 CPC).</w:t>
      </w:r>
    </w:p>
    <w:p>
      <w:r>
        <w:t>Cette règlementation légale a pour conséquence qu'une décision ne pouvant être contestée que par la voie du recours – telle un prononcé de mainlevée – est exécutoire dès sa communication (BASTONS BULLETTI, in Petit Commentaire CPC, 2021, N 1 ad art. 325 CPC); ni le cours du délai de recours ni l'éventuelle introduction en temps utile d'un recours, même assorti d'une requête de restitution de l'effet suspensif, n'y changent rien (CHENAUX, Le recours et la LP, in JdT 2022 II 39, 44). En d'autres termes, le créancier poursuivant au bénéfice d'un jugement prononçant la mainlevée de l'opposition formée par la partie poursuivie peut immédiatement requérir la continuation de la poursuite, sans attendre l'expiration du délai de recours (CHENAUX, op. cit., p. 51). Le caractère immédiatement exécutoire du jugement de mainlevée résultant de la loi (art. 325 al. 1 CPC), il n'a pas à fournir à l'appui de sa réquisition de continuer la poursuite d'autres documents que le prononcé de mainlevée (WINKLER, in KUKO SchKG, 2ème édition, 2014, N 8a ad art. 88 LP).</w:t>
      </w:r>
    </w:p>
    <w:p>
      <w:r>
        <w:t>- 4/6 -</w:t>
      </w:r>
    </w:p>
    <w:p>
      <w:r>
        <w:t>A/1835/2022-CS</w:t>
      </w:r>
    </w:p>
    <w:p>
      <w:r>
        <w:t>L'octroi, par l'instance de recours, de l'effet suspensif à un éventuel recours a pour effet de suspendre avec effet ex tunc le caractère exécutoire du prononcé de mainlevée; les mesures d'exécution intervenues dans l'intervalle (p. ex. notification d'un avis de saisie ou d'une commination de faillite) ne sont toutefois pas annulées mais "gelées" jusqu'à la décision tranchant le sort du recours (ATF 130 III 657 consid. 2; CHENAUX, op. cit., pp. 51-52).</w:t>
      </w:r>
    </w:p>
    <w:p>
      <w:r>
        <w:t>2.2.1 Le for ordinaire de la poursuite est au domicile du débiteur (art. 46 al. 1 LP).</w:t>
      </w:r>
    </w:p>
    <w:p>
      <w:r>
        <w:t>En cas de transfert du domicile du débiteur à l'étranger avant la communication de l'avis de saisie (cf. art. 53 LP), la continuation de la poursuite commencée en Suisse y est impossible, sauf exception des fors spéciaux des art. 50 (for de poursuite d'un débiteur domicilié à l'étranger), 51 (for du lieu de situation de la chose), 52 (for du séquestre) et 54 LP (for de la faillite du débiteur en fuite) (ATF 136 III 373 consid. 2.1; 134 III 417 consid. 4; arrêt du Tribunal fédéral 7B.88/2006 du 19 septembre 2006 consid. 2.1).</w:t>
      </w:r>
    </w:p>
    <w:p>
      <w:r>
        <w:t>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w:t>
      </w:r>
    </w:p>
    <w:p>
      <w:r>
        <w:t>2.2.2 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w:t>
      </w:r>
    </w:p>
    <w:p>
      <w:r>
        <w:t>Les dettes doivent, quant à elles, découler de cette activité.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 A toutefois été laissée indécise la question de savoir si la voie de la plainte serait quand même ouverte dans le cas où il serait évident que les dettes n'avaient absolument aucun lien avec l'établissement (ATF 47 III 14 consid. 1).</w:t>
      </w:r>
    </w:p>
    <w:p>
      <w:r>
        <w:rPr>
          <w:b/>
        </w:rPr>
        <w:t>E. 2.3</w:t>
      </w:r>
    </w:p>
    <w:p>
      <w:r>
        <w:t>Au moment de la notification du commandement de payer, le 22 février 2021, le plaignant était domicilié à Genève, de sorte qu'il existait un for de la poursuite ordinaire au sens de l'art. 46 LP.</w:t>
      </w:r>
    </w:p>
    <w:p>
      <w:r>
        <w:t>Le plaignant a ensuite transféré son domicile à l'étranger, avant la réception de l'avis de saisie, de sorte que la continuation de la poursuite à l'ancien for ordinaire, selon l'art. 53 LP, n'entrait pas en considération.</w:t>
      </w:r>
    </w:p>
    <w:p>
      <w:r>
        <w:t>Nonobstant le domicile à l'étranger, la continuation de la poursuite en Suisse demeurait toutefois possible en présence du for spécial prévu à l'art. 50 LP.</w:t>
      </w:r>
    </w:p>
    <w:p>
      <w:r>
        <w:t>- 5/6 -</w:t>
      </w:r>
    </w:p>
    <w:p>
      <w:r>
        <w:t>A/1835/2022-CS</w:t>
      </w:r>
    </w:p>
    <w:p>
      <w:r>
        <w:t>Dans le cas d'espèce, le plaignant ne conteste à juste titre pas la réalisation de la première condition posée par l'art. 50 al. 1 LP, à savoir l'existence d'un établissement en Suisse. Il résulte en effet des éléments du dossier que le plaignant exerce la profession ______ à Genève, à titre indépendant, dans sa propre ______[bureau]. Un courrier qui se trouve à la procédure de plainte écrit par son associée est d'ailleurs rédigé sur papier à en-tête de C______, sise ______[GE]. Cet élément – au demeurant corroboré par les inscriptions figurant au registre cantonal ______[spécificité] – suffit à considérer qu'il existe un établissement au sens de l’art. 50 al. 1 LP, qui crée un for de la poursuite à Genève, étant rappelé qu'il n'appartient pas à la Chambre de céans, mais au juge de la mainlevée de l'opposition, de se prononcer sur la question de savoir si la dette objet de la poursuite a un rapport avec les activités de cet établissement.</w:t>
      </w:r>
    </w:p>
    <w:p>
      <w:r>
        <w:t>A la suite du jugement de mainlevée du 2 mai 2022, exécutoire au moment où l'Office a donné suite à la réquisition de continuer la poursuite et adressé au plaignant l'avis de saisie (le 20 mai 2022), l'Office pouvait dans tous les cas considérer que l'existence d'un lien entre la dette et l'établissement était à tout le moins vraisemblable, le Tribunal de première instance ayant admis la réalisation de cette condition au moment de prononcer la mainlevée définitive. Aussi, c'est à bon droit que l'Office a donné suite à la réquisition de continuer la poursuite.</w:t>
      </w:r>
    </w:p>
    <w:p>
      <w:r>
        <w:t>La plainte sera donc rejetée.</w:t>
      </w:r>
    </w:p>
    <w:p>
      <w:r>
        <w:rPr>
          <w:b/>
        </w:rPr>
        <w:t>E. 3</w:t>
      </w:r>
    </w:p>
    <w:p>
      <w:r>
        <w:t>La procédure de plainte est gratuite (art. 20a al. 2 ch. 5 LP ; art. 61 al. 2 let. a OELP). Il ne peut être alloué aucun dépens (art. 62 al. 2 OELP). * * * * *</w:t>
      </w:r>
    </w:p>
    <w:p>
      <w:r>
        <w:t>- 6/6 -</w:t>
      </w:r>
    </w:p>
    <w:p>
      <w:r>
        <w:t>A/1835/2022-CS PAR CES MOTIFS, La Chambre de surveillance : A la forme : Déclare recevable la plainte formée le 3 juin 2022 par A______ contre l'avis de saisie du 20 mai 2022 dans la poursuite n° 1______. Au fond : La rejette. Siégeant : Madame Verena PEDRAZZINI RIZZI, présidente; Madame Natalie OPPATJA et Monsieur Anthony HUGUENIN,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