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DCSO/44/2024 vom 15. Februar 2024</w:t>
      </w:r>
    </w:p>
    <w:p>
      <w:r>
        <w:t>GE Cour de justice, 2024-02-15, FR</w:t>
      </w:r>
    </w:p>
    <w:p>
      <w:r>
        <w:rPr>
          <w:b/>
        </w:rPr>
        <w:t xml:space="preserve">Quelle: </w:t>
      </w:r>
      <w:r>
        <w:t>https://mcp.opencaselaw.ch/entscheid/ge_gerichte_DCSO_44_2024</w:t>
      </w:r>
    </w:p>
    <w:p>
      <w:r>
        <w:t>FR: GE_GERICHTE DCSO/44/2024 du 15 février 2024</w:t>
      </w:r>
    </w:p>
    <w:p>
      <w:r>
        <w:t>IT: GE_GERICHTE DCSO/44/2024 del 15 febbraio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 plainte est gratuite (art. 20a al. 2 ch. 5 LP et art. 61 al. 2 let. a OELP) et il ne peut être alloué aucuns dépens dans cette procédure (art. 62 al. 2 OELP). * * * * *</w:t>
      </w:r>
    </w:p>
    <w:p>
      <w:r>
        <w:t>- 7/7 -</w:t>
      </w:r>
    </w:p>
    <w:p>
      <w:r>
        <w:t>A/4025/2023-CS PAR CES MOTIFS, La Chambre de surveillance : A la forme : Déclare recevable la plainte formée le 1er décembre 2023 par A______ SA contre la décision rendue le 17 novembre 2023 par l'Office cantonal des poursuites dans la poursuite n° 1______. Au fond : La rejette. Siégeant : Monsieur Patrick CHENAUX, président; Madame Natalie OPPATJA et Monsieur Denis KELLER,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