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DCSO/449/2022 vom 10. November 2022</w:t>
      </w:r>
    </w:p>
    <w:p>
      <w:r>
        <w:t>GE Cour de justice, 2022-11-10, FR</w:t>
      </w:r>
    </w:p>
    <w:p>
      <w:r>
        <w:rPr>
          <w:b/>
        </w:rPr>
        <w:t xml:space="preserve">Quelle: </w:t>
      </w:r>
      <w:r>
        <w:t>https://mcp.opencaselaw.ch/entscheid/ge_gerichte_DCSO_449_2022</w:t>
      </w:r>
    </w:p>
    <w:p>
      <w:r>
        <w:t>FR: GE_GERICHTE DCSO/449/2022 du 10 novembre 2022</w:t>
      </w:r>
    </w:p>
    <w:p>
      <w:r>
        <w:t>IT: GE_GERICHTE DCSO/449/2022 del 10 novembre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 après : NI-2022;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l'alimentation, les vêtements et le linge, les soins corporels, l'entretien du logement, les frais culturels, la téléphonie et la connectivité, l'éclairage, l'électricité, le gaz, les assurances privées, etc. (art. I NI 2022). D'autres charges indispensables, comme les frais de logement (art. II.1 et II.3 NI-2022), les primes d'assurance-maladie obligatoire (art. II.3 NI-2022) ou les frais de déplacement du domicile au lieu de</w:t>
      </w:r>
    </w:p>
    <w:p>
      <w:r>
        <w:t>- 4/6 -</w:t>
      </w:r>
    </w:p>
    <w:p>
      <w:r>
        <w:t>A/2786/2022-CS travail, doivent être ajoutées à cette base mensuelle d'entretien, pour autant qu'elles soient effectivement payées (OCHSNER, in CR-LP, n° 82 ad art. 93 LP).</w:t>
      </w:r>
    </w:p>
    <w:p>
      <w:r>
        <w:t>2.1.2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t>2.1.3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 Lorsqu'elle est saisie d'une plainte, il appartient à l'autorité de surveillance de vérifier uniquement si la retenue fixée par l'office des poursuites ou le calcul qu'il a effectué est conforme aux faits déterminant la quotité saisissable des revenus du débiteur, compte tenu des circonstances existant au moment de l'exécution de cette mesure (ATF 121 III 20 consid. 3, JdT 1997 II 163).</w:t>
      </w:r>
    </w:p>
    <w:p>
      <w:r>
        <w:rPr>
          <w:b/>
        </w:rPr>
        <w:t>E. 2.2</w:t>
      </w:r>
    </w:p>
    <w:p>
      <w:r>
        <w:t>En l'espèce, le plaignant ne remet en cause ni le montant des revenus retenu par l'Office ni la quotité de l'entretien de base, fixé à 850 fr. par mois, soit la moitié du montant pour un couple (cf. art. I NI-2022), ce qui est conforme à la jurisprudence (cf. DCSO/308/2018 du 24 mai 2018 et les références). Conformément à ses déclarations, aucun loyer n'a été ajouté à ses charges.</w:t>
      </w:r>
    </w:p>
    <w:p>
      <w:r>
        <w:t>Pour ce qui est des frais allégués concernant les primes d'assurance-maladie, de même que les franchises et les quotes-parts, il y a lieu de constater, avec l'Office, que le plaignant n'a fourni la moindre pièce susceptible de documenter la quotité et le paiement de ces charges. C'est donc à juste titre que de tels frais, que le plaignant n'a du reste pas chiffrés, n'ont pas été compris dans son minimum vital. Il en va de même s'agissant du remboursement de cotisations sociales et des frais de transport, qui ne sont ni chiffrés ni documentés.</w:t>
      </w:r>
    </w:p>
    <w:p>
      <w:r>
        <w:t>Mal fondée, la plainte sera rejetée.</w:t>
      </w:r>
    </w:p>
    <w:p>
      <w:r>
        <w:t>- 5/6 -</w:t>
      </w:r>
    </w:p>
    <w:p>
      <w:r>
        <w:t>A/2786/2022-CS</w:t>
      </w:r>
    </w:p>
    <w:p>
      <w:r>
        <w:rPr>
          <w:b/>
        </w:rPr>
        <w:t>E. 3</w:t>
      </w:r>
    </w:p>
    <w:p>
      <w:r>
        <w:t>La procédure de plainte est gratuite (art. 20a al. 2 ch. 5 LP et art. 61 al. 2 let. a OELP). * * * * *</w:t>
      </w:r>
    </w:p>
    <w:p>
      <w:r>
        <w:t>- 6/6 -</w:t>
      </w:r>
    </w:p>
    <w:p>
      <w:r>
        <w:t>A/2786/2022-CS PAR CES MOTIFS, La Chambre de surveillance : A la forme : Déclare recevable la plainte formée le 2 septembre 2022 par A______ contre le procès- verbal de saisie du 18 août 2022 dans la série n° 1______. Au fond : La rejette. Siégeant : Madame Verena PEDRAZZINI RIZZI, présidente; Madame Natalie OPPATJA et Monsieur Anthony HUGUENIN,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