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DCSO/448/2023 vom 14. August 2023</w:t>
      </w:r>
    </w:p>
    <w:p>
      <w:r>
        <w:t>GE Cour de justice, 2023-08-14, FR</w:t>
      </w:r>
    </w:p>
    <w:p>
      <w:r>
        <w:rPr>
          <w:b/>
        </w:rPr>
        <w:t xml:space="preserve">Quelle: </w:t>
      </w:r>
      <w:r>
        <w:t>https://mcp.opencaselaw.ch/entscheid/ge_gerichte_DCSO_448_2023</w:t>
      </w:r>
    </w:p>
    <w:p>
      <w:r>
        <w:t>FR: GE_GERICHTE DCSO/448/2023 du 14 août 2023</w:t>
      </w:r>
    </w:p>
    <w:p>
      <w:r>
        <w:t>IT: GE_GERICHTE DCSO/448/2023 del 14 agosto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w:t>
      </w:r>
    </w:p>
    <w:p>
      <w:r>
        <w:t>- 3/5 -</w:t>
      </w:r>
    </w:p>
    <w:p>
      <w:r>
        <w:t>A/2627/2023-CS (ATF 138 III 219 consid. 2.3; 129 III 595 consid. 3; 120 III 42 consid. 3), la plainte est recevable.</w:t>
      </w:r>
    </w:p>
    <w:p>
      <w:r>
        <w:rPr>
          <w:b/>
        </w:rPr>
        <w:t>E. 2</w:t>
      </w:r>
    </w:p>
    <w:p>
      <w:r>
        <w:t>2.1.1 Selon l'art. 67 al. 1 ch. 2 LP, la réquisition de poursuite doit énoncer les nom et domicile du débiteur; c'est en premier lieu au poursuivant – et non à l'Office – qu'il incombe de rechercher l'adresse du débiteur,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(ATF 141 III 173 consid. 2.4 et les références citées; GILLIERON, Commentaire LP, n° 116 ad art. 67 LP).</w:t>
      </w:r>
    </w:p>
    <w:p>
      <w:r>
        <w:t>2.1.2 Le for ordinaire de la poursuite est au domicile du débiteur (art. 46 al. 1 LP), au moment de la notification du commandement de payer (arrêt du Tribunal fédéral 5A_5/2009 du 9 juillet 2009 consid. 3).</w:t>
      </w:r>
    </w:p>
    <w:p>
      <w:r>
        <w:t>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 du Tribunal fédéral 5A_539/2022 du 13 septembre 2022 consid. 4.1.1).</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w:t>
      </w:r>
    </w:p>
    <w:p>
      <w:r>
        <w:t>- 4/5 -</w:t>
      </w:r>
    </w:p>
    <w:p>
      <w:r>
        <w:t>A/2627/2023-CS circonstance excluant la permanence du domicile suisse (ATF 120 III 110 consid. 1b; arrêt du Tribunal fédéral 7B.241/2005 du 6 mars 2006 consid. 3.1 et 3.2; DCSO/73/2019 du 8 février 2019; STOFFEL, CHABLOZ, Poursuite pour dettes et exécution spéciale, 2016, p. 92, n° 112).</w:t>
      </w:r>
    </w:p>
    <w:p>
      <w:r>
        <w:rPr>
          <w:b/>
        </w:rPr>
        <w:t>E. 2.2</w:t>
      </w:r>
    </w:p>
    <w:p>
      <w:r>
        <w:t>En l'espèce, l'Office dispose d'informations précises et étayées sur le domicile actuel du débiteur, lequel ne se situe pas en Suisse. La plaignante se fonde pour sa part exclusivement sur une attestation des autorités administratives qui n'est manifestement pas à jour au vu de la modification récente du domicile du débiteur. Elle n'allègue pas de circonstances permettant de mettre en doute les constatations de l'Office ou de penser qu'il faudrait accepter un "for fictif" en Suisse, faute de nouveau domicile connu à l'étranger.</w:t>
      </w:r>
    </w:p>
    <w:p>
      <w:r>
        <w:t>La décision de l'Office étant justifiée, la plainte sera rejetée.</w:t>
      </w:r>
    </w:p>
    <w:p>
      <w:r>
        <w:rPr>
          <w:b/>
        </w:rPr>
        <w:t>E. 3</w:t>
      </w:r>
    </w:p>
    <w:p>
      <w:r>
        <w:t>La procédure devant l'autorité de surveillance est gratuite (art. 20a al. 2 ch. 5 LP; art. 61 al. 2 let. a OELP) et ne donne pas lieu à l'allocation de dépens (art. 62 al. 2 OELP). * * * * *</w:t>
      </w:r>
    </w:p>
    <w:p>
      <w:r>
        <w:t>- 5/5 -</w:t>
      </w:r>
    </w:p>
    <w:p>
      <w:r>
        <w:t>A/2627/2023-CS PAR CES MOTIFS, La Chambre de surveillance : A la forme : Déclare recevable la plainte formée le 17 août 2023 par la COMMUNE DE A______ contre la décision de non-lieu de poursuite du 14 août 2023 de l'Office dans le cadre de la poursuite n° 1______. Au fond : La rejette.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