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DCSO/441/2017 vom 31. August 2017</w:t>
      </w:r>
    </w:p>
    <w:p>
      <w:r>
        <w:t>GE Cour de justice, 2017-08-31, FR</w:t>
      </w:r>
    </w:p>
    <w:p>
      <w:r>
        <w:rPr>
          <w:b/>
        </w:rPr>
        <w:t xml:space="preserve">Quelle: </w:t>
      </w:r>
      <w:r>
        <w:t>https://mcp.opencaselaw.ch/entscheid/ge_gerichte_DCSO_441_2017</w:t>
      </w:r>
    </w:p>
    <w:p>
      <w:r>
        <w:t>FR: GE_GERICHTE DCSO/441/2017 du 31 août 2017</w:t>
      </w:r>
    </w:p>
    <w:p>
      <w:r>
        <w:t>IT: GE_GERICHTE DCSO/441/2017 del 31 agosto 2017</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prises par l'Office et qui ne sont pas attaquables par la voie judiciaire (art. 17 al. 1 LP).</w:t>
      </w:r>
    </w:p>
    <w:p>
      <w:r>
        <w:rPr>
          <w:b/>
        </w:rPr>
        <w:t>E. 1.2</w:t>
      </w:r>
    </w:p>
    <w:p>
      <w:r>
        <w:t>La plainte doit être déposée dans les dix jours dès le lendemain de celui où le plaignant a eu connaissance de la mesure (art. 17 al. 2 LP).</w:t>
      </w:r>
    </w:p>
    <w:p>
      <w:r>
        <w:t>Cependant, conformément à la jurisprudence de la Chambre de surveillance (DCSO/356/2012 consid. 2.4; DCSO/32/2012 consid. 3.2; DCSO/442/2009 consid. 3b; DCSO/86/2009 consid. 3b), la réception d'un avis de saisie ne permet toutefois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C'est a fortiori le cas lors d'une saisie de salaire en mains de l'employeur du débiteur ou d'une saisie de rente en mains de la Caisse concernée, le débiteur saisi ne recevant pas directement l'avis de saisie expédié par l'Office. Ainsi, le délai de plainte contre une saisie ne commence-t-il, en définitive, à courir qu’à réception du procès- verbal de saisie (OCHSNER, in CR-LP, 2005, ad art. 93 n. 186). Pour le surplus, la plainte est recevable en tout temps lorsque la mesure attaquée porte atteinte au minimum vital du débiteur et qu'elle le place dans une situation intolérable (art. 22 LP; ATF 114 III 78 consid. 3 = JdT 1990 II 162).</w:t>
      </w:r>
    </w:p>
    <w:p>
      <w:r>
        <w:t>En l'espèce, l'avis de saisie querellé a été reçu le 25 mars 2017 par la débitrice. Toutefois, il ne ressort pas du dossier qu’un procès-verbal de saisie correspondant lui serait parvenu de sorte que le délai pour porter plainte contre l’exécution de cette saisie n’a pas encore commencé à courir.</w:t>
      </w:r>
    </w:p>
    <w:p>
      <w:r>
        <w:t>La présente plainte n’est dès lors pas tardive.</w:t>
      </w:r>
    </w:p>
    <w:p>
      <w:r>
        <w:t>1.3.1 La représentation professionnelle des parties aux procédures d'exécution forcée est prévue à l'art. 27 LP. En application de cette disposition, qui autorise les cantons à réglementer la représentation professionnelle des intéressés à la procédure d'exécution forcée, le législateur genevois a édicté la loi réglementant la profession d'agent d'affaires du 2 novembre 1927 (LPAA – RS/GE E 6 20), qui prévoit la représentation conventionnelle des parties devant les autorités de poursuite.</w:t>
      </w:r>
    </w:p>
    <w:p>
      <w:r>
        <w:t>L'art. 27 LP et les dispositions de la LPAA s'appliquent également à la représentation des parties devant l'autorité de surveillance (DCSO/188/2017 du</w:t>
      </w:r>
    </w:p>
    <w:p>
      <w:r>
        <w:rPr>
          <w:b/>
        </w:rPr>
        <w:t>E. 6</w:t>
      </w:r>
    </w:p>
    <w:p>
      <w:r>
        <w:t>avril 2017, consid. 2.1; DCSO/286/2016 du 22 septembre 2016, consid. 1.3; DCSO/89/2015 du 26 février 2015, consid. 2).</w:t>
      </w:r>
    </w:p>
    <w:p>
      <w:r>
        <w:t>- 4/5 -</w:t>
      </w:r>
    </w:p>
    <w:p>
      <w:r>
        <w:t>A/1289/2017-CS</w:t>
      </w:r>
    </w:p>
    <w:p>
      <w:r>
        <w:t>Le législateur genevois a entendu limiter la représentation professionnelle des parties devant les offices des poursuites et des faillites aux seules personnes justifiant de qualités précises, dans l'intérêt public bien compris (DCSO/188/2017 du 6 avril 2017, consid. 2.1; DCSO/286/2016 du 22 septembre 2016, consid. 1.3).</w:t>
      </w:r>
    </w:p>
    <w:p>
      <w:r>
        <w:t>Ainsi, aux termes de l'art. 1 LPAA, sont seuls admis en qualité de mandataires des parties auprès de l’Office: a) les avocats et les avocats-stagiaires rattachés au barreau de Genève ou à celui d’un autre canton; b) les notaires nommés par le département de la sécurité et de l’économie; c) les huissiers judiciaires nommés par le Conseil d’Etat; d) les agents d'affaires autorisés par le département à exercer cette profession à Genève; e) les mandataires autorisés par le département en application de l'article 27 al. 2 LP.</w:t>
      </w:r>
    </w:p>
    <w:p>
      <w:r>
        <w:t>L'art. 3A LPAA précise que a) ceux qui, sans en faire profession, agissent exceptionnellement en qualité de mandataires des parties auprès des offices; b) ceux qui, étant domiciliés dans un autre canton, y exercent la profession d'agent d'affaires; c) ceux qui sont chargés de la gérance d'un immeuble, mais seulement pour les actes de poursuite qui en sont la suite et pour autant qu'ils en justifient suffisamment par la production d'une procuration, sont dispensés de l'obligation de solliciter l'autorisation prévue à l'art. 1 let. d LPAA.</w:t>
      </w:r>
    </w:p>
    <w:p>
      <w:r>
        <w:t>1.3.2 En l’espèce, la société signataire de la présente plainte ne remplit pas les conditions rappelées ci-dessus sous ch. 1.3.1 pour représenter valablement la débitrice devant la présente Chambre de surveillance.</w:t>
      </w:r>
    </w:p>
    <w:p>
      <w:r>
        <w:t>Par courrier recommandé du 20 avril 2017, le greffe a dès lors invité ladite débitrice à lui faire parvenir cette plainte portant sa propre signature, sous peine d’irrecevabilité de cette plainte, mais l’intéressée n'a pas retiré ce pli à la Poste.</w:t>
      </w:r>
    </w:p>
    <w:p>
      <w:r>
        <w:t>Il découle de ce qui précède que sa plainte est irrecevable.</w:t>
      </w:r>
    </w:p>
    <w:p>
      <w:r>
        <w:t>1.4.1 Sous réserve d’un abus de droit manifeste, il n’appartient ni aux offices des poursuites ni aux autorités de surveillance de revoir la justification des créances à l'origine de la procédure de réalisation forcée, partant, de décider si une prétention est exigée à bon droit ou non (ATF 115 III 18 consid. 3b; arrêts du Tribunal fédéral 7B.219/2006 et 7B.220/2006 du 16 avril 2007 consid. 3.3).</w:t>
      </w:r>
    </w:p>
    <w:p>
      <w:r>
        <w:t>La plainte ne peut donc jamais aboutir à un jugement sur le fond du droit qui fait l’objet de l’exécution forcée : un tel jugement relève exclusivement de la juridiction civile ou administrative (GILLIERON, Poursuite pour dettes, faillite et concordat, 2012, p. 59).</w:t>
      </w:r>
    </w:p>
    <w:p>
      <w:r>
        <w:t>1.4.2 Vu les principes rappelés ci-dessus sous ch. 1.4.1, la présente plainte est également irrecevable au regard du défaut de compétence ratione materiae de la Chambre de surveillance pour la trancher, les griefs concernant l'existence de la créance en poursuite ne relevant pas de cette compétence de la présente Chambre. 2. La procédure de plainte est gratuite (art. 20a al. 2 ch. 5 LP et art. 61 al. 2 let. a OELP) et il ne peut être alloué aucun dépens (art. 62 al. 2 OELP).</w:t>
      </w:r>
    </w:p>
    <w:p>
      <w:r>
        <w:t>- 5/5 -</w:t>
      </w:r>
    </w:p>
    <w:p>
      <w:r>
        <w:t>A/1289/2017-CS PAR CES MOTIFS, La Chambre de surveillance : Déclare irrecevable la plainte formée le 10 juin 2017 par B______ SARL contre l'avis de saisie établi par l’Office des poursuites le 22 mars 2017 dans le cadre de la poursuite no 16 xxxx98 L requise par C______ SA à l’encontre de A______. Siégeant : Madame Valérie LAEMMEL-JUILLARD, présidente; Messieurs Michel BERTSCHY et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