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DCSO/441/2011 vom 24. November 2011</w:t>
      </w:r>
    </w:p>
    <w:p>
      <w:r>
        <w:t>GE Cour de justice, 2011-11-24, FR</w:t>
      </w:r>
    </w:p>
    <w:p>
      <w:r>
        <w:rPr>
          <w:b/>
        </w:rPr>
        <w:t xml:space="preserve">Quelle: </w:t>
      </w:r>
      <w:r>
        <w:t>https://mcp.opencaselaw.ch/entscheid/ge_gerichte_DCSO_441_2011</w:t>
      </w:r>
    </w:p>
    <w:p>
      <w:r>
        <w:t>FR: GE_GERICHTE DCSO/441/2011 du 24 novembre 2011</w:t>
      </w:r>
    </w:p>
    <w:p>
      <w:r>
        <w:t>IT: GE_GERICHTE DCSO/441/2011 del 24 novembre 2011</w:t>
      </w:r>
    </w:p>
    <w:p>
      <w:pPr>
        <w:pStyle w:val="Heading2"/>
      </w:pPr>
      <w:r>
        <w:t>Regeste</w:t>
      </w:r>
    </w:p>
    <w:p>
      <w:r>
        <w:t>Résumé: Les actes de l'Office des faillites - qui découlent certes d'une décision erronée (collocation de la créance de l'actionnaire correspondant au capital-actions de la faillie qu'il avait souscrit) - ne sont pas entachés de nullité.</w:t>
      </w:r>
    </w:p>
    <w:p>
      <w:pPr>
        <w:pStyle w:val="Heading2"/>
      </w:pPr>
      <w:r>
        <w:t>Erwägungen</w:t>
      </w:r>
    </w:p>
    <w:p>
      <w:r>
        <w:rPr>
          <w:b/>
        </w:rPr>
        <w:t>E. 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Peu importe la façon dont elles acquièrent la connaissance de la prise de telles mesures; ce peut être notamment par le biais</w:t>
      </w:r>
    </w:p>
    <w:p>
      <w:r>
        <w:t>- 4/6 -</w:t>
      </w:r>
    </w:p>
    <w:p>
      <w:r>
        <w:t>A/2925/2011-CS d’une plainte ou d’une dénonciation ou dans le cadre de l’exercice de ses tâches de surveillance. La LP prévoit explicitement que le juge saisi d’une réquisition de faillite ajourne sa décision et soumet le cas à l’autorité de surveillance s’il estime qu’une décision nulle a été rendue dans la procédure antérieure (art. 173 al. 2 et</w:t>
      </w:r>
    </w:p>
    <w:p>
      <w:r>
        <w:rPr>
          <w:b/>
        </w:rPr>
        <w:t>E. 3</w:t>
      </w:r>
    </w:p>
    <w:p>
      <w:r>
        <w:t>La Chambre de céans constatera en conséquence que la décision de collocation et les actes subséquents (cession de créance et acte de défaut de biens) ne sont pas nuls. * * * * *</w:t>
      </w:r>
    </w:p>
    <w:p>
      <w:r>
        <w:t>- 6/6 -</w:t>
      </w:r>
    </w:p>
    <w:p>
      <w:r>
        <w:t>A/2925/2011-CS</w:t>
      </w:r>
    </w:p>
    <w:p>
      <w:r>
        <w:t>PAR CES MOTIFS, La Chambre de surveillance : A la forme : Reçoit la requête formée par le Tribunal de première instance concernant la validité de la décision de collocation prise par l'Office des faillites dans le cadre de la faillite de la société C______ SA et des actes subséquents. Au fond : Constate que cette décision et les actes subséquents ne sont pas entachés de nullité.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L'art. 757 CO permet aussi aux actionnaires d'agir et ne requiert aucune décision de cession; l'art. 260 LP, qui ne concerne que le créancier exige que celui-ci demande et donc obtienne la cession des droits. La réserve de l'art. 757 al. 3 CO a seulement pour but de montrer, afin d'éviter toute discussion sur ce point, que la voie de la cession en faveur d'un créancier selon l'art. 260 LP n'est pas supprimée par la disposition spéciale contenue à l'art. 757 CO. L'art. 260 LP constitue donc une autre voie procédurale, également ouverte, pour parvenir au même résultat. En revanche, la cession selon l'art. 260 LP est exclue pour un actionnaire (Bernard Corboz, op.cit, ad art. 757 n°s 39-41).</w:t>
      </w:r>
    </w:p>
    <w:p>
      <w:r>
        <w:rPr>
          <w:b/>
        </w:rPr>
        <w:t>E. 3.2</w:t>
      </w:r>
    </w:p>
    <w:p>
      <w:r>
        <w:t>En l'occurrence, la créance de B______ SA ayant été colloquée et l'administration de la faillite ayant renoncé à agir, cette société a demandé et obtenu la cession des droits qui lui a été accordée en application de l'art. 260 LP, l'Office l'ayant considérée comme une créancière. Puis, l'état de collocation étant devenu définitif, cette créance a été portée dans le tableau de distribution (art. 261 et ss LP) et l'Office a délivré à la créancière un acte de défaut de biens (art. 265 al. 1 LP).</w:t>
      </w:r>
    </w:p>
    <w:p>
      <w:r>
        <w:rPr>
          <w:b/>
        </w:rPr>
        <w:t>E. 3.3</w:t>
      </w:r>
    </w:p>
    <w:p>
      <w:r>
        <w:t>La validité de ces actes, qui découlent certes d'une décision erronée mais non entachée de nullité (cf. supra consid. 2.2.), ne saurait dès lors être remise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