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DCSO/438/2011 vom 24. November 2011</w:t>
      </w:r>
    </w:p>
    <w:p>
      <w:r>
        <w:t>GE Cour de justice, 2011-11-24, FR</w:t>
      </w:r>
    </w:p>
    <w:p>
      <w:r>
        <w:rPr>
          <w:b/>
        </w:rPr>
        <w:t xml:space="preserve">Quelle: </w:t>
      </w:r>
      <w:r>
        <w:t>https://mcp.opencaselaw.ch/entscheid/ge_gerichte_DCSO_438_2011</w:t>
      </w:r>
    </w:p>
    <w:p>
      <w:r>
        <w:t>FR: GE_GERICHTE DCSO/438/2011 du 24 novembre 2011</w:t>
      </w:r>
    </w:p>
    <w:p>
      <w:r>
        <w:t>IT: GE_GERICHTE DCSO/438/2011 del 24 novembre 2011</w:t>
      </w:r>
    </w:p>
    <w:p>
      <w:pPr>
        <w:pStyle w:val="Heading2"/>
      </w:pPr>
      <w:r>
        <w:t>Regeste</w:t>
      </w:r>
    </w:p>
    <w:p>
      <w:r>
        <w:t>Résumé: La plaignante, suite au retrait de la poursuite dirigée à son encontre, conserve un intérêt à ce qu'il soit statué sur la nullité de cette poursuite. Seule, en effet, la poursuite dont le caractère injustifié a été reconnu au terme d'une procédure peut échapper à la connaissance de tiers.</w:t>
      </w:r>
    </w:p>
    <w:p>
      <w:pPr>
        <w:pStyle w:val="Heading2"/>
      </w:pPr>
      <w:r>
        <w:t>Erwägungen</w:t>
      </w:r>
    </w:p>
    <w:p>
      <w:r>
        <w:rPr>
          <w:b/>
        </w:rPr>
        <w:t>E. 1.1</w:t>
      </w:r>
    </w:p>
    <w:p>
      <w:r>
        <w:t>La présente plainte a été formée le 29 septembre 2011 auprès de la Chambre de céans, compétente pour statuer sur une mesure de l'Office (un commandement de payer notifié le 24 septembre 2011) sujette à plainte (art. 17 LP; art. 125 al. 2 et 126 al. 2 litt. c) LOJ; art. 6 al. 3, 7 al. 1 et 9 LaLP), par une personne, la débitrice poursuivie, ayant qualité pour agir par cette voie dans les dix jours (art. 17 al. 2 LP).</w:t>
      </w:r>
    </w:p>
    <w:p>
      <w:r>
        <w:t>Cette plainte sera donc déclarée recevable.</w:t>
      </w:r>
    </w:p>
    <w:p>
      <w:r>
        <w:rPr>
          <w:b/>
        </w:rPr>
        <w:t>E. 2.1</w:t>
      </w:r>
    </w:p>
    <w:p>
      <w:r>
        <w:t>La plaignante a conclu à la nullité de la poursuite considérée au motif que celle-ci procédait d'un abus de droit et, suite au retrait de celle-ci par le poursuivant, a déclaré maintenir sa plainte au motif qu'elle avait un intérêt à ce que la nullité soit constatée et qu'il soit fait interdiction à l'Office de la communiquer à des tiers.</w:t>
      </w:r>
    </w:p>
    <w:p>
      <w:r>
        <w:rPr>
          <w:b/>
        </w:rPr>
        <w:t>E. 2.2</w:t>
      </w:r>
    </w:p>
    <w:p>
      <w:r>
        <w:t>A part les art. 149a al. 3 et 265 al. 2 LP qui prévoient une véritable radiation, limitée toutefois au registre des actes de défaut de biens que les cantons peuvent tenir (Pierre-Robert Gilliéron, Commentaire, ad art. 149a n° 29 ss; cf. art. 8 Oform), le droit fédéral ne ménage aucune possibilité de radier l'inscription d'une poursuite dans les livres avant l'échéance prévue à l'art. 2 al. 2 OCdoc. Il existe cependant un équivalent à la radiation (cf. Message concernant la révision de la LP du 8 mai 1991, p.39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du 19 septembre 2006 7B.88/2006; ATF 115 III 24 consid. 2b).</w:t>
      </w:r>
    </w:p>
    <w:p>
      <w:r>
        <w:rPr>
          <w:b/>
        </w:rPr>
        <w:t>E. 2.3</w:t>
      </w:r>
    </w:p>
    <w:p>
      <w:r>
        <w:t>Dans un arrêt paru aux ATF 125 III 334 (JdT 1999 II 184), le Tribunal fédéral a jugé que bien qu'une annulation formelle de la poursuite dans le dispositif du jugement ne soit pas une condition nécessaire du refus du droit de consultation, il n'était pas possible, au vu de l'historique ainsi que du sens et du but de l'art. 8a al. 3 LP, de faire fi de l'exigence qu'il doit ressortir sans autre du résultat de la procédure que la poursuite était injustifiée et "qu'il est établi qu'une poursuite a été engagée à tort" (consid. 3 et les réf. citées). Dès lors, seule la poursuite dont le caractère injustifié a été reconnu au terme d'une procédure peut échapper à la connaissance de tiers.</w:t>
      </w:r>
    </w:p>
    <w:p>
      <w:r>
        <w:rPr>
          <w:b/>
        </w:rPr>
        <w:t>E. 2.4</w:t>
      </w:r>
    </w:p>
    <w:p>
      <w:r>
        <w:t>Il s'ensuit qu'en dépit de son retrait par le poursuivant, la plaignante a conservé un intérêt à ce qu'il soit statué sur la nullité alléguée de la poursuite.</w:t>
      </w:r>
    </w:p>
    <w:p>
      <w:r>
        <w:t>- 4/6 -</w:t>
      </w:r>
    </w:p>
    <w:p>
      <w:r>
        <w:t>A/2997/2011-CS</w:t>
      </w:r>
    </w:p>
    <w:p>
      <w:r>
        <w:rPr>
          <w:b/>
        </w:rPr>
        <w:t>E. 3.1</w:t>
      </w:r>
    </w:p>
    <w:p>
      <w:r>
        <w:t>Selon la jurisprudence du Tribunal fédéral (cf. notamment ATF 7B.36/2006 du 16 mai 2006 consid. 2.1; 7B.45/2006 du 28 juillet 2006 consid. 3.1;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JdT 1989 II 120). Le grief qu'une poursuite représenterait un abus manifeste de droit, principe exprimé à l'art. 2 al. 2 CC valable dans l'ensemble de l'ordre juridique, est néanmoins recevable devant la Chambre de surveillance en tant qu'il est dirigé contre l'utilisation même des moyens qu'offre le droit de l'exécution forcée, et non contre la prétention litigieuse elle-même (Flavio Cometta, in SchKG I, ad art. 17 n° 27; Pierre-Robert Gilliéron, Commentaire, ad art. 17 n° 88; Franco Lorandi, Betreibungsrechtliche Beschwerde und Nichtigkeit, Kommentar zu den Artikeln 13 - 30 SchKG, 2000, ad art. 17 n° 274).</w:t>
      </w:r>
    </w:p>
    <w:p>
      <w:r>
        <w:rPr>
          <w:b/>
        </w:rPr>
        <w:t>E. 3.2</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ATF 113 III 2, JdT 1989 II 121 ATF 112 III 47 consid. 1, JdT 1988 II 145; SJ 1987 p. 156).</w:t>
      </w:r>
    </w:p>
    <w:p>
      <w:r>
        <w:rPr>
          <w:b/>
        </w:rPr>
        <w:t>E. 3.3</w:t>
      </w:r>
    </w:p>
    <w:p>
      <w:r>
        <w:t>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DCSO/39/2010 du 21 janvier 2010). Constitue également un abus manifeste de droit, à sanctionner par la nullité de la poursuite, le fait d’intenter une poursuite dans le seul but de porter atteinte à la réputation et au crédit de la personne poursuivie (SJ 1987 p. 156; RFJ 2001 p. 331; Henri Deschenaux / Paul-Henri</w:t>
      </w:r>
    </w:p>
    <w:p>
      <w:r>
        <w:t>- 5/6 -</w:t>
      </w:r>
    </w:p>
    <w:p>
      <w:r>
        <w:t>A/2997/2011-CS 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DCSO/321/07 du 28 juin 2007 consid. 4.b.; cf. Pierre-Robert Gilliéron, Commentaire, ad art. 8a n° 36, ad art. 17 n° 23, ad Remarques introductives aux art. 38-45 n° 35 ss; Karl Wüthrich / Peter Schoch, in SchKG I, ad art. 69 n° 15 ss).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Chambre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w:t>
      </w:r>
    </w:p>
    <w:p>
      <w:r>
        <w:rPr>
          <w:b/>
        </w:rPr>
        <w:t>E. 3.4</w:t>
      </w:r>
    </w:p>
    <w:p>
      <w:r>
        <w:t>En l'occurrence, il est constant que la poursuite en cause a pour fondement l'activité de juge d'instruction de la plaignante.</w:t>
      </w:r>
    </w:p>
    <w:p>
      <w:r>
        <w:t>En vertu de l'art. 1 al. 1 LREC, l'Etat de Genève et les communes du canton sont tenus de réparer le dommage résultant pour des tiers d'actes illicites commis, soit intentionnellement, soit par négligence ou imprudence dans l'exercice de leurs fonctions par des magistrats qui les représentent. A l'al. 2, il est précisé que les lésés n'ont aucune action directe envers les magistrats.</w:t>
      </w:r>
    </w:p>
    <w:p>
      <w:r>
        <w:t>Ainsi, le poursuivant ne disposait d'aucune action directe contre la plaignante prise en sa qualité de magistrate du pouvoir judiciaire.</w:t>
      </w:r>
    </w:p>
    <w:p>
      <w:r>
        <w:t>La poursuite n° 11 xxxx28 M procède ainsi d'un abus de droit qui doit être sanctionné par la nullité (DCSO/319/2010 du 8 juillet 2010).</w:t>
      </w:r>
    </w:p>
    <w:p>
      <w:r>
        <w:rPr>
          <w:b/>
        </w:rPr>
        <w:t>E. 4</w:t>
      </w:r>
    </w:p>
    <w:p>
      <w:r>
        <w:t>La plainte sera en conséquence admise.</w:t>
      </w:r>
    </w:p>
    <w:p>
      <w:r>
        <w:t>La Chambre de céans invitera l'Office à mentionner dans ses registres que l'extinction de la poursuite n° 11 xxxx28 M, dont la communication lors de la consultation ou la délivrance d'extraits doit être prohibée, résulte de sa nullité (art. 8a al. 3 let. a LP).</w:t>
      </w:r>
    </w:p>
    <w:p>
      <w:r>
        <w:t>- 6/6 -</w:t>
      </w:r>
    </w:p>
    <w:p>
      <w:r>
        <w:t>A/2997/2011-CS PAR CES MOTIFS, La Chambre de surveillance : A la forme : Déclare recevable la plainte formée par Mme B______ contre la poursuite n° 11 xxxx28 M. Au fond : L'admet. Invite l'Office à procéder conformément au considérant 4. Déboute les parties de toutes autres conclusions. Siégeant : Madame Ariane WEYENETH,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