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DCSO/431/2024 vom 12. September 2024</w:t>
      </w:r>
    </w:p>
    <w:p>
      <w:r>
        <w:t>GE Cour de justice, 2024-09-12, FR</w:t>
      </w:r>
    </w:p>
    <w:p>
      <w:r>
        <w:rPr>
          <w:b/>
        </w:rPr>
        <w:t xml:space="preserve">Quelle: </w:t>
      </w:r>
      <w:r>
        <w:t>https://mcp.opencaselaw.ch/entscheid/ge_gerichte_DCSO_431_2024</w:t>
      </w:r>
    </w:p>
    <w:p>
      <w:r>
        <w:t>FR: GE_GERICHTE DCSO/431/2024 du 12 septembre 2024</w:t>
      </w:r>
    </w:p>
    <w:p>
      <w:r>
        <w:t>IT: GE_GERICHTE DCSO/431/2024 del 12 settembre 2024</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ATF 129 III 595 consid. 3; ATF 120 III 42 consid. 3), la plainte est recevable.</w:t>
      </w:r>
    </w:p>
    <w:p>
      <w:r>
        <w:rPr>
          <w:b/>
        </w:rPr>
        <w:t>E. 2</w:t>
      </w:r>
    </w:p>
    <w:p>
      <w:r>
        <w:t>2.1.1 Les poursuites dirigées contre le failli s'éteignent et aucune poursuite ne peut être faite durant la liquidation de la faillite pour des créances nées avant l'ouverture de la faillite (art. 206 al. 1 1ère phr. LP). Tous les biens saisissables du failli au moment de l'ouverture de la faillite forment une seule masse, quel que soit le lieu où ils se trouvent, et sont affectés au paiement des créanciers; les biens qui échoient au failli jusqu'à la clôture de la faillite rentrent dans la masse (art. 197 al. 1 et 2 LP).</w:t>
      </w:r>
    </w:p>
    <w:p>
      <w:r>
        <w:t>Le salaire et autres revenus professionnels du failli ne lui échoient pas au sens de l'art. 197 al. 2 LP et sont par conséquent soustraits au dessaisissement du failli. En principe, le failli peut donc encore disposer librement de son salaire malgré la faillite et les créanciers dont les créances sont antérieures à l'ouverture de la faillite n'ont pas le droit de mettre la main sur cet actif (ATF 149 III 28 consid. 6.2.3.1). Les prestations de la prévoyance professionnelle versées au failli qui a atteint l'âge de la retraite visent le maintien du niveau de vie de manière appropriée. Comme le revenu issu de l'activité professionnelle, elles sont relativement saisissables et traitées comme telles dans la faillite. Au vu de la</w:t>
      </w:r>
    </w:p>
    <w:p>
      <w:r>
        <w:t>- 4/6 -</w:t>
      </w:r>
    </w:p>
    <w:p>
      <w:r>
        <w:t>A/1480/2024-CS conception étroite de l'art. 197 al. 2 LP visant à permettre au failli de se créer une nouvelle situation financière, ces prestations doivent être traitées de la même manière que les revenus professionnels et soustraites au dessaisissement du failli après l'ouverture de la faillite (ATF 149 III 28 consid. 6.2.3.3).</w:t>
      </w:r>
    </w:p>
    <w:p>
      <w:r>
        <w:t>Seuls les revenus résultant de l'activité déployée après le prononcé de la faillite échappent au dessaisissement du failli; les revenus perçus par ce dernier en lien avec l'activité déployée avant le prononcé de la faillite entrent dans la masse même s'ils lui sont versés après le prononcé de la faillite (BSK SchKG II - Hunkeler, n. 85 ad art. 197 LP; Schober, in Kommentar SchKG, 2017, Kren Kostkiewicz/Vock [éd.], n° 6 et 7 ad art. 197 LP).</w:t>
      </w:r>
    </w:p>
    <w:p>
      <w:r>
        <w:t>2.1.2 Les biens saisis non réalisés au moment de l'ouverture de la faillite et les biens séquestrés rentrent dans la masse; toutefois, si les délais de participation à la saisie sont échus à l'ouverture de la faillite, les montants déjà encaissés par suite de saisies d'espèces, de saisies de créances et de salaires, ainsi que de réalisations de biens sont distribués conformément aux art. 144 à 150; l'excédent est remis à la masse (art. 199 al. 1 et 2 LP).</w:t>
      </w:r>
    </w:p>
    <w:p>
      <w:r>
        <w:rPr>
          <w:b/>
        </w:rPr>
        <w:t>E. 2.2</w:t>
      </w:r>
    </w:p>
    <w:p>
      <w:r>
        <w:t>En l'espèce, la faillite personnelle du plaignant a été prononcée le 21 mars 2024.</w:t>
      </w:r>
    </w:p>
    <w:p>
      <w:r>
        <w:t>Les montants encaissés par l'Office jusqu'en février 2024 dans le cadre de la saisie de la rente de prévoyance du plaignant ont été distribués aux créanciers participant à la série n° 1______ conformément à l'art. 199 al. 2 LPP, ce qui n'est, à juste titre, pas remis en cause par le plaignant.</w:t>
      </w:r>
    </w:p>
    <w:p>
      <w:r>
        <w:t>S'agissant du montant de 3'128 fr. 60 encaissé le 27 mars 2024 postérieurement à la faillite du plaignant prononcée le 21 mars 2024, l'Office a décidé de verser à la masse la part correspondant à la période antérieure au prononcé de la faillite et de restituer au plaignant la part relative à la période postérieure à la faillite.</w:t>
      </w:r>
    </w:p>
    <w:p>
      <w:r>
        <w:t>Il est vrai que la rente de prévoyance allouée au plaignant depuis qu'il a atteint l'âge de la retraite est versée à la fin de chaque mois en application de l'art. 63 du règlement général de son institution de prévoyance. Son droit à la rente de prévoyance a toutefois pris naissance avec son accession à l'âge de la retraite (art. 13 al. 1 LPP; art. 21 al. 1 et 2 LAVS; art. 17 al. 5 et 6 R/B______). C'est en conséquence à raison que l'Office a appliqué par analogie les principes applicables en matière de créances de salaires, naissant au fur et à mesure que le travail est fourni indépendamment de la date de son versement.</w:t>
      </w:r>
    </w:p>
    <w:p>
      <w:r>
        <w:t>Le plaignant ne saurait être suivi lorsqu'il se fonde sur différents arrêts rendus par le Tribunal fédéral en matière de prévoyance professionnelle pour soutenir que l'exigibilité des prestations de prévoyance professionnelle dépend non seulement</w:t>
      </w:r>
    </w:p>
    <w:p>
      <w:r>
        <w:t>- 5/6 -</w:t>
      </w:r>
    </w:p>
    <w:p>
      <w:r>
        <w:t>A/1480/2024-CS de la survenance de l'événement assuré, mais également du versement effectif des prestations, dans la mesure où la jurisprudence qu'il cite traite de l'exigibilité du versement en espèces de la prestation de sortie en cas de libre passage.</w:t>
      </w:r>
    </w:p>
    <w:p>
      <w:r>
        <w:t>En l'occurrence, dans la mesure où le plaignant a atteint l'âge de la retraite et qu'il perçoit depuis lors mensuellement la rente versée par son institution de prévoyance, l'Office a procédé correctement en distinguant les montants saisis de la rente de prévoyance correspondant aux périodes antérieure et postérieure au prononcé de la faillite du plaignant. C'est, partant, à juste titre qu'il a restitué au plaignant la somme de 1'110 fr. 15 correspondant à la part saisie sur sa rente pour la période allant du 31 au 31 mars 2024 et versé le solde de 2'018 fr. 45 à l'Office cantonal des faillites.</w:t>
      </w:r>
    </w:p>
    <w:p>
      <w:r>
        <w:t>Infondée, la plainte sera rejetée.</w:t>
      </w:r>
    </w:p>
    <w:p>
      <w:r>
        <w:rPr>
          <w:b/>
        </w:rPr>
        <w:t>E. 3</w:t>
      </w:r>
    </w:p>
    <w:p>
      <w:r>
        <w:t>La procédure de plainte est gratuite (art. 20a al. 2 ch. 5 LP et art. 61 al. 2 let. a OELP) et il ne peut être alloué aucuns dépens dans cette procédure (art. 62 al. 2 OELP). * * * * *</w:t>
      </w:r>
    </w:p>
    <w:p>
      <w:r>
        <w:t>- 6/6 -</w:t>
      </w:r>
    </w:p>
    <w:p>
      <w:r>
        <w:t>A/1480/2024-CS PAR CES MOTIFS, La Chambre de surveillance :</w:t>
      </w:r>
    </w:p>
    <w:p>
      <w:r>
        <w:t>A la forme : Déclare recevable la plainte formée le 2 mai 2024 par A______ contre la décision de l'Office cantonal des poursuites du 18 avril 2024. Au fond : La rejette. Siégeant : Madame Ursula ZEHETBAUER GHAVAMI, présidente; Messieurs Luca MINOTTI et Anthony HUGUENIN, juges assesseurs; Madame Elise CAIRUS, greffière.</w:t>
      </w:r>
    </w:p>
    <w:p>
      <w:r>
        <w:t>La présidente :</w:t>
      </w:r>
    </w:p>
    <w:p>
      <w:r>
        <w:t>Ursula ZEHETBAUER GHAVAMI</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