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DCSO/424/2022 vom 20. Oktober 2022</w:t>
      </w:r>
    </w:p>
    <w:p>
      <w:r>
        <w:t>GE Cour de justice, 2022-10-20, FR</w:t>
      </w:r>
    </w:p>
    <w:p>
      <w:r>
        <w:rPr>
          <w:b/>
        </w:rPr>
        <w:t xml:space="preserve">Quelle: </w:t>
      </w:r>
      <w:r>
        <w:t>https://mcp.opencaselaw.ch/entscheid/ge_gerichte_DCSO_424_2022</w:t>
      </w:r>
    </w:p>
    <w:p>
      <w:r>
        <w:t>FR: GE_GERICHTE DCSO/424/2022 du 20 octobre 2022</w:t>
      </w:r>
    </w:p>
    <w:p>
      <w:r>
        <w:t>IT: GE_GERICHTE DCSO/424/2022 del 20 ottobre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à l'encontre d'une mesure de l'Office pouvant être attaquée par cette voie (art. 17 al. 1 LP) et par une partie potentiellement lésée dans ses intérêts (ATF 138 III 219 consid. 2.3; 129 III 595 consid. 3; 120 III 42 consid. 3), la plainte est recevable à ces égards.</w:t>
      </w:r>
    </w:p>
    <w:p>
      <w:r>
        <w:t>- 4/7 -</w:t>
      </w:r>
    </w:p>
    <w:p>
      <w:r>
        <w:t>A/1990/2022-CS</w:t>
      </w:r>
    </w:p>
    <w:p>
      <w:r>
        <w:t>En application de l'art. 32 al. 2 LP, un acte déposé en temps utile auprès d'une autorité de poursuite incompétente – office des poursuites, des faillite ou autorité de surveillance, notamment une plainte au sens de l'art. 17 LP – est réputé respecter le délai; l'autorité incompétente communique l'acte à l'autorité compétente sans retard. En l'espèce, nonobstant le dépôt devant une autorité incompétente, la plainte est ainsi également recevable à cet égard.</w:t>
      </w:r>
    </w:p>
    <w:p>
      <w:r>
        <w:rPr>
          <w:b/>
        </w:rPr>
        <w:t>E. 2</w:t>
      </w:r>
    </w:p>
    <w:p>
      <w:r>
        <w:t>La plaignante fait grief à l'Office d'avoir considéré qu'il n'était plus en mesure de conduire une poursuite contre le débiteur en raison de l'absence de domicile de celui-ci à Genève, alors qu'il avait accepté de le faire jusqu'en 2021.</w:t>
      </w:r>
    </w:p>
    <w:p>
      <w:r>
        <w:t>2.1.1 Selon l'art. 67 al. 1 ch. 2 LP, la réquisition de poursuite doit énoncer les nom et domicile du débiteur; c'est en premier lieu au poursuivant – et non à l'Office – qu'il incombe de rechercher l'adresse du débiteur,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 (ATF 141 III 173 consid. 2.4 et les références citées; GILLIERON, Commentaire LP, n° 116 ad art. 67 LP).</w:t>
      </w:r>
    </w:p>
    <w:p>
      <w:r>
        <w:t>2.1.2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w:t>
      </w:r>
    </w:p>
    <w:p>
      <w:r>
        <w:t>- 5/7 -</w:t>
      </w:r>
    </w:p>
    <w:p>
      <w:r>
        <w:t>A/1990/2022-CS circonstance excluant la permanence du domicile suisse (ATF 120 III 110 consid. 1b; arrêt du Tribunal fédéral 7B.241/2005 du 6 mars 2006 consid. 3.1 et 3.2; DCSO/73/2019 du 8 février 2019; STOFFEL, CHABLOZ, Poursuite pour dettes et exécution spéciale, 2016, p. 92, n° 112).</w:t>
      </w:r>
    </w:p>
    <w:p>
      <w:r>
        <w:t>2.1.3 Si le débiteur change de domicile après l'avis de saisie, la poursuite se continue au même domicile (art. 53 LP).</w:t>
      </w:r>
    </w:p>
    <w:p>
      <w:r>
        <w:t>La perpétuation du for au sens de l'art. 53 LP s'applique aux changements nationaux et internationaux (SCHÜPBACH, Commentaire Romand, Poursuite et faillite, 2005, n° 4 ad art. 53 LP).</w:t>
      </w:r>
    </w:p>
    <w:p>
      <w:r>
        <w:t>Les poursuites à l'ancien for qui n'ont pas atteint le stade de la perpétuation prévue par l'art. 53 LP sont continuées au nouveau et, péremption réservée, ne sont pas recommencées. Ainsi, le for ordinaire de poursuite suit le débiteur à chaque nouveau domicile, de sorte que la poursuite requise à l'ancien domicile doit être continuée au nouveau domicile (ATF 136 III 373 consid. 2.1; 134 III 417 consid. 4; arrêt 7B.88/2006 du 19 septembre 2006 consid. 2.1; SCHÜPBACH, op. cit., n° 20 ad art. 53 LP et les citations).</w:t>
      </w:r>
    </w:p>
    <w:p>
      <w:r>
        <w:t>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 5A_542/2014 du 18 septembre 2014 consid. 4.1.2).</w:t>
      </w:r>
    </w:p>
    <w:p>
      <w:r>
        <w:t>Lorsque l'Office qui a rédigé et notifié le commandement de payer prend conscience que le for de la poursuite a changé, sans être en mesure d'identifier l'office des poursuites compétent, il doit rejeter la réquisition de continuer, car il n'est pas tenu de rechercher le domicile du poursuivi; cette décision peut faire l'objet d'une plainte à l'autorité de surveillance (décision de la Chambre de surveillance DCSO/35/2022 du 3 février 2022 consid. 2; GILLIERON, Commentaire de la loi fédérale sur la poursuite pour dettes et la faillite, n° 18 ad art. 89 LP).</w:t>
      </w:r>
    </w:p>
    <w:p>
      <w:r>
        <w:t>2.1.4 La notification se fait par publication lorsque le débiteur n'a pas de domicile connu (art. 66 al. 4 ch. 1 LP).</w:t>
      </w:r>
    </w:p>
    <w:p>
      <w:r>
        <w:t>La notification d'un commandement de payer par voie édictale constitue une ultima ratio;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w:t>
      </w:r>
    </w:p>
    <w:p>
      <w:r>
        <w:t>- 6/7 -</w:t>
      </w:r>
    </w:p>
    <w:p>
      <w:r>
        <w:t>A/1990/2022-CS</w:t>
      </w:r>
    </w:p>
    <w:p>
      <w:r>
        <w:rPr>
          <w:b/>
        </w:rPr>
        <w:t>E. 2.2</w:t>
      </w:r>
    </w:p>
    <w:p>
      <w:r>
        <w:t>En l'espèce, il ressort des derniers actes d'instruction de l'Office – effectués alors que la procédure de plainte était déjà en cours et non contestés par la plaignante – que le débiteur, âgé de 39 ans, ne disposant à Genève que d'une adresse chez sa mère, a déplacé son domicile à D______[Emirats arabes unis], où il est titulaire d'un permis de résidence, jouit d'un logement et exerce une activité professionnelle. Cette situation existe vraisemblablement depuis plusieurs années, raison pour laquelle les notifications d'actes de poursuite à l'adresse de sa mère à Genève étaient régulièrement vouées à l'échec ou passivement reçues par une personne dont on peut douter qu'elle avait la qualité pour les recevoir au sens des art. 64 et ss LP. Les quelques éléments réunis par la plaignante pour soutenir que le débiteur serait domicilié en Suisse ne sont pas suffisants pour renverser les preuves fournies par le débiteur, dont il n'est pas contesté qu'il a conservé des attaches avec Genève, ses parents y vivant (numéro de téléphone portable suisse actif, inscription en qualité d'organe d'une association figurant au RC de Genève, permanence d'une inscription à l'OCPM – désormais radiée – et poursuites conduites par l'Office jusqu'en 2021).</w:t>
      </w:r>
    </w:p>
    <w:p>
      <w:r>
        <w:t>L'Office était par conséquent fondé à rendre la décision de non-lieu de saisie attaquée – en réalité un non-lieu de poursuite –, l'absence de domicile du débiteur à Genève, et partant de compétence pour le poursuivre à Genève, étant établie. Dans ces circonstances, aucune perpétuation du for au sens de l'art. 53 LP n'entre en ligne de compte, faute de for acquis à Genève avant l'avis de saisie.</w:t>
      </w:r>
    </w:p>
    <w:p>
      <w:r>
        <w:t>De surcroît, le débiteur a produit des pièces permettant d'établir un nouveau domicile à l'étranger, une adresse figurant même dans le contrat de bail produit, ce qui exclut qu'une poursuite puisse être intentée à Genève à titre de "for de nécessité".</w:t>
      </w:r>
    </w:p>
    <w:p>
      <w:r>
        <w:t>L'existence désormais avérée d'un domicile du débiteur à l'étranger, et l'absence de for de poursuite à Genève qui en découle, excluent également la notification d'actes de poursuite par voie édictale.</w:t>
      </w:r>
    </w:p>
    <w:p>
      <w:r>
        <w:t>La plainte sera par conséquent rejetée.</w:t>
      </w:r>
    </w:p>
    <w:p>
      <w:r>
        <w:rPr>
          <w:b/>
        </w:rPr>
        <w:t>E. 3</w:t>
      </w:r>
    </w:p>
    <w:p>
      <w:r>
        <w:t>La procédure de plainte est gratuite (art. 20a al. 2 ch. 5 LP; art. 61 al. 2 let. a OELP) et ne donne pas lieu à l'allocation de dépens (art. 62 al. 2 OELP). * * * * *</w:t>
      </w:r>
    </w:p>
    <w:p>
      <w:r>
        <w:t>- 7/7 -</w:t>
      </w:r>
    </w:p>
    <w:p>
      <w:r>
        <w:t>A/1990/2022-CS PAR CES MOTIFS, La Chambre de surveillance : A la forme : Déclare recevable la plainte du 13 juin 2022 de A______ SA contre la décision de non- lieu de saisie du 27 mai 2022 de l'Office cantonal des poursuites dans les poursuites n° 2______ et n° 3______, série n° 4______, contre B______. Au fond : La rejette. Siégeant : Monsieur Jean REYMOND, président; Monsieur Luca MINOTTI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