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DCSO/421/2016 vom 15. Dezember 2016</w:t>
      </w:r>
    </w:p>
    <w:p>
      <w:r>
        <w:t>GE Cour de justice, 2016-12-15, FR</w:t>
      </w:r>
    </w:p>
    <w:p>
      <w:r>
        <w:rPr>
          <w:b/>
        </w:rPr>
        <w:t xml:space="preserve">Quelle: </w:t>
      </w:r>
      <w:r>
        <w:t>https://mcp.opencaselaw.ch/entscheid/ge_gerichte_DCSO_421_2016</w:t>
      </w:r>
    </w:p>
    <w:p>
      <w:r>
        <w:t>FR: GE_GERICHTE DCSO/421/2016 du 15 décembre 2016</w:t>
      </w:r>
    </w:p>
    <w:p>
      <w:r>
        <w:t>IT: GE_GERICHTE DCSO/421/2016 del 15 dicembre 2016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- 5/10 -</w:t>
      </w:r>
    </w:p>
    <w:p>
      <w:r>
        <w:t>A/1883/2016-CS</w:t>
      </w:r>
    </w:p>
    <w:p>
      <w:r>
        <w:rPr>
          <w:b/>
        </w:rPr>
        <w:t>E. 2</w:t>
      </w:r>
    </w:p>
    <w:p>
      <w:r>
        <w:t>Il n'y a pas lieu en l'occurrence d'ordonner des débats, comme y conclut la plaignante. Au terme de l'instruction écrite, le dossier est en effet suffisamment complet pour permettre à la Chambre de céans de statuer sur les conclusions prises au fond par la plaignante. La procédure de plainte n'a pour le surplus pas pour but de permettre au poursuivant d'interroger directement le poursuivi et ses proches sur leur situation personnelle et financière.</w:t>
      </w:r>
    </w:p>
    <w:p>
      <w:r>
        <w:rPr>
          <w:b/>
        </w:rPr>
        <w:t>E. 3.1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Commentaire romand LP, 2005, n. 25 ad art. 93; JEANDIN, Commentaire romand LP, 2005, n. 15 ad art. 91).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3.2</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w:t>
      </w:r>
    </w:p>
    <w:p>
      <w:r>
        <w:t>- 6/10 -</w:t>
      </w:r>
    </w:p>
    <w:p>
      <w:r>
        <w:t>A/1883/2016-CS COLLAUD, Le minimum vital selon l'article 93 LP, in RFJ 2012 p. 299 ss, 303; arrêt du Tribunal fédéral 5A_919/2012 du 11 février 2013 consid. 4.3.1). 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Le minimum vital, p. 128). Une base mensuelle d'entretien, qui dépend de l'âge de l'enfant, est également prévue pour chacun des enfants vivant avec le débiteur et envers lequel ce dernier a une obligation d'entretien (OCHSNER, Le minimum vital, p. 130). Les montants reçus par le débiteur pour l'entretien de l'enfant, tels que les allocations familiales ou une pension alimentaire, doivent être déduits de la base mensuelle d'entretien (art. 276 al. 3 CC; OCHSNER, Le minimum vital, p. 132). Chaque époux est tenu d'assister de façon appropriée son conjoint dans l'accomplissement de son obligation d'entretien envers les enfants nés avant le mariage (art. 278 al. 2 CC). Cette obligation, dont la jurisprudence a déduit un devoir d'assistance indirect à charge du beau-parent vivant dans la même communauté (ATF 127 III 68 consid. 3), est subsidiaire à celle des parents (arrêt du Tribunal fédéral 5A_440/2014 du 20 novembre 2014 consid. 4.3.2.2). Dans ce cadre, le beau-parent supporte le risque lié à l'encaissement de la contribution d'entretien destinée à l'enfant (ATF 120 II 285 consid. 2b). 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KUKO SchKG, 2ème édition, 2014, HUNKELER [éd.], n° 61 ad art. 93 LP; OCHSNER, in CR LP, n° 179 et 180 ad art. 93 LP). 3.3.1 La plaignante conteste le revenu net du débiteur retenu par l'Office, le considérant trop bas. Elle se fonde toutefois pour ce faire sur le certificat de salaire 2015 de l'intimé, alors que le gain déterminant est celui réalisé au moment de la saisie, soit le 24 mai 2016. L'Office s'est pour sa part fondé sur les décomptes de salaire du débiteur pour les mois de février à mai 2016. Selon ces pièces, le salaire mensuel brut de l'intimé s'élève à 4'600 fr., ce qui, compte tenu des charges sociales de 593 fr. 65 et d'une allocation forfaitaire pour frais de 150 fr., correspond à un revenu mensuel net de 4'156 fr. 35. Il résulte par ailleurs du décompte de salaire de mai 2016 que l'intimé accomplit parfois des heures supplémentaires, rémunérées à hauteur de 28 fr. 20</w:t>
      </w:r>
    </w:p>
    <w:p>
      <w:r>
        <w:t>- 7/10 -</w:t>
      </w:r>
    </w:p>
    <w:p>
      <w:r>
        <w:t>A/1883/2016-CS brut de l'heure. Dans son calcul, l'Office a toutefois omis de prendre en considération le 13ème salaire que l'intimé admet percevoir (pièce 3 plaignante, p. 6 ch. 18), qui constitue une partie de ses revenus saisissables. Ses gains mensuels déterminants s'élèvent ainsi au minimum, hors heures supplémentaires, à 4'502 fr. 70 (4'156 fr. 35 + [4'156 fr. 35 ÷ 12]). 3.3.2 L'intimé assume à l'égard de F______, né du précédent mariage de son épouse, un devoir d'assistance indirect. C'est donc à juste titre que l'Office a retenu qu'il était tenu de pourvoir à son entretien, dans la mesure où les allocations familiales et la contribution d'entretien à la charge du père de l'enfant n'y suffiraient pas. Le dossier est toutefois incomplet sur ce point, dès lors qu'il ne permet pas de comprendre pour quelles raisons aucune allocation familiale ne serait versée, alors que le débiteur ou son épouse paraissent pouvoir y prétendre en application de l'art. 3 LAF, ni aucune contribution d'entretien payée, alors que le père de F______ y a été condamné. 3.3.3 C'est en revanche à tort que l'Office a retenu, au titre des dépenses nécessaires de l'intimé, un montant de 400 fr. – correspondant à la base mensuelle d'entretien d'un enfant de moins de dix ans – pour l'entretien de la plaignante. Il ne résulte en effet pas du dossier que celle-ci habiterait auprès de son père. Sont en revanche susceptibles d'être prises en compte les contributions à l'entretien de A______ dues par l'intimé, si tant est qu'elles soient effectivement payées. 3.3.4 La plaignante ne conteste pas que l'épouse du débiteur n'exerce aucune activité lucrative. Dans ses dernières écritures, elle allègue toutefois que cette dernière serait propriétaire d'un immeuble sis au Portugal et en déduit qu'elle serait en mesure de contribuer à la couverture des dépenses du ménage. Le simple fait que la conjointe de l'intimé soit – par hypothèse – propriétaire d'un immeuble au Portugal n'implique pas en soi une obligation de sa part de contribuer aux charges de leur ménage commun. Admettre le contraire reviendrait à englober dans l'exécution forcée d'une dette de l'époux des actifs de l'épouse, ce qui n'est pas admissible. La situation serait en revanche différente si l'épouse de l'intimé obtenait des revenus d'actifs mobiliers ou immobiliers : on pourrait alors en effet attendre de sa part qu'elle consacre une partie de ces revenus à la couverture des dépenses du ménage commun, ce qui réduirait d'autant la charge pesant sur l'intimé. Des investigations complémentaires s'avèrent ainsi nécessaires sur ce point également. 3.3.5 Il résulte des considérants 3.3.1 et 3.3.3 ci-dessus que – à tout le moins sur la base des éléments connus à ce jour – l'intimé dispose d'une quotité saisissable. Le</w:t>
      </w:r>
    </w:p>
    <w:p>
      <w:r>
        <w:t>- 8/10 -</w:t>
      </w:r>
    </w:p>
    <w:p>
      <w:r>
        <w:t>A/1883/2016-CS procès-verbal de saisie valant acte de défaut de biens du 24 mai 2016 doit dès lors être annulé et le dossier retourné à l'Office afin qu'il procède à un nouveau calcul du minimum vital après avoir complété ses investigations. Il appartiendra à l'Office, à cet égard, d'établir quels étaient les revenus professionnels nets de l'intimé au moment de la saisie, ce en tenant compte de son treizième salaire s'il se confirme qu'il en perçoit un et, en prenant en considération une moyenne sur douze mois, des heures supplémentaires qu'il effectue occasionnellement. Dans l'éventualité où les informations et pièces fournies par le débiteur lui-même ne seraient pas suffisamment concluantes, l'Office pourra utilement s'adresser à cet effet à son employeur. L'office devra également éclaircir la question du lieu de vie de l'enfant A______, dont dépend la prise en compte dans les dépenses nécessaires de l'intimé d'un montant de 400 fr. au titre de base d'entretien de celle-ci, ainsi que celle des prestations (allocations familiales et contributions d'entretien) susceptibles de revenir à l'enfant F______. L'audition de l'épouse du débiteur, la production par cette dernière de pièces justificatives ainsi qu'une demande de renseignements au Service des allocations familiales pourront à cet égard se révéler utiles. Enfin, les investigations complémentaires de l'Office devront également porter sur les éventuels revenus – provenant ou non d'une activité lucrative – dont jouirait l'épouse du débiteur. Là encore, l'audition de cette dernière, préalablement rendue attentive aux obligations découlant pour elle de l'art. 91 al. 4 LP, apparaît indiquée.</w:t>
      </w:r>
    </w:p>
    <w:p>
      <w:r>
        <w:rPr>
          <w:b/>
        </w:rPr>
        <w:t>E. 4</w:t>
      </w:r>
    </w:p>
    <w:p>
      <w:r>
        <w:t>La procédure de plainte est gratuite (art. 20a al. 2 ch. 5 LP et art. 61 al. 2 let. a OELP) et il ne peut être alloué aucuns dépens dans cette procédure (art. 62 al. 2 OELP). * * * * *</w:t>
      </w:r>
    </w:p>
    <w:p>
      <w:r>
        <w:t>- 9/10 -</w:t>
      </w:r>
    </w:p>
    <w:p>
      <w:r>
        <w:t>A/1883/2016-CS PAR CES MOTIFS, La Chambre de surveillance : A la forme : Déclare recevable la plainte formée le 7 juin 2016 par A______, agissant par sa représentante légale B______, contre le procès-verbal de saisie valant acte de défaut de biens établi le 24 mai 2016 dans la poursuite n° 15 xxxx75 U. Au fond : L'admet. Annule en conséquence le procès-verbal de saisie valant acte de défaut de biens établi le 24 mai 2016 dans la poursuite n° 15 xxxx75 U. Invite l'Office à procéder à un nouveau calcul du minimum vital du débiteur, après avoir complété ses investigations dans le sens des considérants. Siégeant : Monsieur Patrick CHENAUX, président; Madame Natalie OPPATJA et Monsieur Denis KELLER, juges assesseur(e)s; Madame Marie NIERMARECHAL, greffière.</w:t>
      </w:r>
    </w:p>
    <w:p>
      <w:r>
        <w:t>Le président : Patrick CHENAUX</w:t>
      </w:r>
    </w:p>
    <w:p>
      <w:r>
        <w:t>La greffière : Marie NIERMARECHAL</w:t>
      </w:r>
    </w:p>
    <w:p>
      <w:r>
        <w:t>- 10/10 -</w:t>
      </w:r>
    </w:p>
    <w:p>
      <w:r>
        <w:t>A/1883/2016-CS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