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DCSO/420/2020 vom 5. November 2020</w:t>
      </w:r>
    </w:p>
    <w:p>
      <w:r>
        <w:t>GE Cour de justice, 2020-11-05, FR</w:t>
      </w:r>
    </w:p>
    <w:p>
      <w:r>
        <w:rPr>
          <w:b/>
        </w:rPr>
        <w:t xml:space="preserve">Quelle: </w:t>
      </w:r>
      <w:r>
        <w:t>https://mcp.opencaselaw.ch/entscheid/ge_gerichte_DCSO_420_2020</w:t>
      </w:r>
    </w:p>
    <w:p>
      <w:r>
        <w:t>FR: GE_GERICHTE DCSO/420/2020 du 5 novembre 2020</w:t>
      </w:r>
    </w:p>
    <w:p>
      <w:r>
        <w:t>IT: GE_GERICHTE DCSO/420/2020 del 5 novembre 2020</w:t>
      </w:r>
    </w:p>
    <w:p>
      <w:pPr>
        <w:pStyle w:val="Heading2"/>
      </w:pPr>
      <w:r>
        <w:t>Regeste</w:t>
      </w:r>
    </w:p>
    <w:p>
      <w:r>
        <w:t>Résumé: Obligation pour l'Office de communiquer au débiteur le calcul de la quotité saisissable. Revenus irréguliers (professeur de tennis).</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2005, n° 32 et 33 ad art. 17 LP).</w:t>
      </w:r>
    </w:p>
    <w:p>
      <w:r>
        <w:t>Lorsque la plainte est dirigée contre la saisie (ou le séquestre), le délai de dix jours prévu par l'art. 17 al. 2 LP commence à courir avec la communication du procès- verbal de saisie ou de séquestre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Selon la jurisprudence de la Chambre de céans (DCSO/64/2020 cons. 1.2; DCSO/203/2019 cons. 1.2),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w:t>
      </w:r>
    </w:p>
    <w:p>
      <w:r>
        <w:t>- 4/9 -</w:t>
      </w:r>
    </w:p>
    <w:p>
      <w:r>
        <w:t>A/2103/2020-CS pourrait conduire à priver le débiteur pendant plusieurs semaines des moyens nécessaires à son existence.</w:t>
      </w:r>
    </w:p>
    <w:p>
      <w:r>
        <w:rPr>
          <w:b/>
        </w:rPr>
        <w:t>E. 1.2</w:t>
      </w:r>
    </w:p>
    <w:p>
      <w:r>
        <w:t>La plainte est en l'occurrence dirigée contre une mesure de l'Office pouvant être contestée par cette voie et émane d'une personne exposée à être lésée dans ses intérêts protégés. Elle respecte la forme écrite et comporte une motivation suffisante, dans la mesure où l'on en comprend que le plaignant estime que ses revenus et charges ont été calculés de manière non conforme à la loi et souhaite en conséquence obtenir l'annulation de la saisie. Elle a enfin été formée dans les dix jours de la réception de l'exécution de la saisie – en l'espèce par la réception du courrier de l'Office du 1er juillet 2020 – soit en temps utile dès lors que le plaignant fait valoir une violation de son minimum vital.</w:t>
      </w:r>
    </w:p>
    <w:p>
      <w:r>
        <w:t>Elle est donc recevable.</w:t>
      </w:r>
    </w:p>
    <w:p>
      <w:r>
        <w:rPr>
          <w:b/>
        </w:rPr>
        <w:t>E. 2</w:t>
      </w:r>
    </w:p>
    <w:p>
      <w:r>
        <w:t>Le poursuivi requiert dans sa plainte que la manière précise dont l'Office a procédé au calcul de la quotité saisissable lui soit communiquée.</w:t>
      </w:r>
    </w:p>
    <w:p>
      <w:r>
        <w:rPr>
          <w:b/>
        </w:rPr>
        <w:t>E. 2.1</w:t>
      </w:r>
    </w:p>
    <w:p>
      <w:r>
        <w:t>Selon la jurisprudence (ATF 100 III 12 cons. 2; arrêt du Tribunal fédéral 5A_564/2012 du 21 novembre 2012 cons. 2.5.1), le débiteur faisant l'objet d'une saisie de revenus (art. 93 al. 1 LP) dispose d'un droit inconditionnel à ce que la manière dont la quotité saisissable a été calculée lui soit communiquée simultanément à l'entrée en vigueur de la saisie. On ne saurait en effet exiger de sa part qu'il remette une partie de ses revenus à l'Office alors qu'il ignore comment cette part a été fixée, et ne peut ainsi décider s'il entend accepter ce calcul ou le contester. Le calcul de la quotité saisissable constitue à cet égard la motivation de la décision portant sur le principe et la quotité d'une saisie de revenu (arrêt du Tribunal fédéral 5A_ 725/2018 du 16 mai 2019 cons. 4.2).</w:t>
      </w:r>
    </w:p>
    <w:p>
      <w:r>
        <w:t>Rien ne justifie au demeurant que le calcul de la quotité saisissable, nécessairement effectué par l'office des poursuites antérieurement à la saisie, ne soit pas communiqué au débiteur (ATF 100 III 12 cons. 2).</w:t>
      </w:r>
    </w:p>
    <w:p>
      <w:r>
        <w:rPr>
          <w:b/>
        </w:rPr>
        <w:t>E. 2.2</w:t>
      </w:r>
    </w:p>
    <w:p>
      <w:r>
        <w:t>Il est établi en l'espèce que l'avis d'exécution de la saisie du 1er juillet 2020 ne mentionnait pas la manière dont la quotité saisissable avait été calculée et ne comportait aucune annexe. L'Office a ainsi violé son obligation d'informer le débiteur, simultanément à l'entrée en vigueur de la saisie, de la manière dont la quotité saisissable avait été calculée. Conformément à la jurisprudence, ladite saisie était ainsi imparfaite et ne pouvait déployer ses effets.</w:t>
      </w:r>
    </w:p>
    <w:p>
      <w:r>
        <w:t>Cette omission a été réparée par la communication au plaignant, par la Chambre de surveillance, des observations du 25 août 2020 déposées par l'Office dans la présente procédure de plainte. Ces écritures énumèrent en effet les revenus et charges dont il a été tenu compte dans la détermination de la quotité saisissable et, s'agissant du premier de ces éléments, la manière dont ils ont été fixés. A compter de la date de réception par le plaignant de cette communication, effectuée par pli du 27 août 2020, la saisie était ainsi parfaite.</w:t>
      </w:r>
    </w:p>
    <w:p>
      <w:r>
        <w:t>- 5/9 -</w:t>
      </w:r>
    </w:p>
    <w:p>
      <w:r>
        <w:t>A/2103/2020-CS</w:t>
      </w:r>
    </w:p>
    <w:p>
      <w:r>
        <w:t>A ce stade de l'examen des griefs soulevés par le plaignant, la plainte est ainsi partiellement bien fondée, les effets de la saisie devant être repoussés au 1er septembre 2020.</w:t>
      </w:r>
    </w:p>
    <w:p>
      <w:r>
        <w:rPr>
          <w:b/>
        </w:rPr>
        <w:t>E. 3</w:t>
      </w:r>
    </w:p>
    <w:p>
      <w:r>
        <w:t>Le plaignant soutient que ses revenus auraient dû être déclarés insaisissables au vu de leur modestie d'une part et de leur caractère irrégulier d'autre part.</w:t>
      </w:r>
    </w:p>
    <w:p>
      <w:r>
        <w:rPr>
          <w:b/>
        </w:rPr>
        <w:t>E. 3.1</w:t>
      </w:r>
    </w:p>
    <w:p>
      <w:r>
        <w:t>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NI-2020; OCHSNER, Le minimum vital (art. 93 al. 1 LP), in SJ 2012 II p. 119 ss, 123; COLLAUD, Le minimum vital selon l'article 93 LP, in RFJ 2012 p. 299 ss, 303; arrêt du Tribunal fédéral 5A_919/2012 du 11 février 2013 consid. 4.3.1).</w:t>
      </w:r>
    </w:p>
    <w:p>
      <w:r>
        <w:t>Le revenu tiré d'une activité professionnelle indépendante comprend toutes les prestations que le débiteur reçoit en contrepartie de celles qu'il apporte dans le cadre de cette activité, que ces contreparties soient en argent ou en nature (KREN KOSTKIEWICZ, in KUKO SchKG, 2ème édition, 2014, N 10 ad art. 93 LP). Pour établir ce revenu brut, l'office des poursuites doit interroger le débiteur sur le genre d'activité qu'il exerce ainsi que le volume et la nature de ses affaires; il pourra se faire remettre par le débiteur, tenu de fournir les renseignements exigés (art. 91 al. 1 ch. 2 LP), la comptabilité et tous les documents utiles concernant l'exploitation de son activité. Lorsque l'instruction à laquelle procède l'Office ne révèle aucun élément certain, comme cela pourra notamment être le cas si le débiteur ne tient pas de comptabilité, il faut tenir compte des indices à disposition et, si nécessaire, procéder par comparaison avec d'autres activités semblables ou</w:t>
      </w:r>
    </w:p>
    <w:p>
      <w:r>
        <w:t>- 6/9 -</w:t>
      </w:r>
    </w:p>
    <w:p>
      <w:r>
        <w:t>A/2103/2020-CS par appréciation (ATF 126 III 89 cons. 3a et jurisprudences citées). Les dépenses nécessaires à l'obtention de ce revenu doivent en être déduites pour obtenir un revenu net (ATF 119 III 19 cons. 2b).</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 Les impôts ne constituent pas des charges indispensables au sens de l'art. 93 al. 1 LP et ne peuvent en conséquence être pris en compte pour déterminer la quotité saisissable des revenus du débiteur (ATF 140 III 337 consid. 4.4).</w:t>
      </w:r>
    </w:p>
    <w:p>
      <w:r>
        <w:t>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op. cit., n° 61 ad art. 93 LP; OCHSNER, in CR LP, n° 179 et 180 ad art. 93 LP).</w:t>
      </w:r>
    </w:p>
    <w:p>
      <w:r>
        <w:t>Lorsque les revenus du débiteur sont variables, comme c'est fréquemment le cas pour des personnes exerçant une activité indépendante, l'office des poursuites a le choix entre deux possibilités lors de l'exécution de la saisie (WINKLER, in Kommentar SchKG, 4ème édition, 2017, Kren Kostkiewicz/Vock [éd.], N 70 ad art. 93 LP). La première consiste à fixer la retenue mensuelle à un montant fixe, correspondant à la différence entre le revenu mensuel net moyen du débiteur, calculé en principe sur l'année précédant la saisie, et son minimum vital; l'office des poursuites devra alors encaisser mensuellement le montant ainsi fixé mais s'abstenir de le distribuer aux créanciers de manière à ce que, à la fin de la période de saisie, l'on puisse déterminer les montants qui dépassent effectivement, sur l'ensemble de la période considérée, le minimum vital du débiteur, et au besoin compenser les mois durant lesquels le débiteur aura perçu moins que le minimum vital (ATF 112 III 19 cons. 2c; WINKLER, op. cit., N 71 ad art. 93 LP; OCHSNER, CR LP, N 37 ad art. 93 LP). S'il fait le choix de la seconde possibilité, l'office des poursuites invitera le débiteur à lui verser mensuellement, sous la menace des sanctions légales (art. 169 CP), la part de ses revenus nets excédant son minimum vital, soit un montant variable. Dans le cadre de cette méthode, le débiteur doit établir chaque mois le montant de ses revenus nets. Si ceux-ci sont, certains mois, inférieurs à son minimum vital, l'office des poursuites doit lui rétrocéder les montants saisis déjà encaissés, ou ceux qu'il encaissera, de manière à lui permettre de couvrir son minimum vital pendant la période de la saisie (ATF 86 III 53 cons.</w:t>
      </w:r>
    </w:p>
    <w:p>
      <w:r>
        <w:t>- 7/9 -</w:t>
      </w:r>
    </w:p>
    <w:p>
      <w:r>
        <w:t>A/2103/2020-CS 2; 85 III 40 cons. 3; WINKLER, op. cit., N 72 ad art. 73 LP; OCHSNER, CR LP, N 33 à 36 ad art. 93 LP).</w:t>
      </w:r>
    </w:p>
    <w:p>
      <w:r>
        <w:t>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w:t>
      </w:r>
    </w:p>
    <w:p>
      <w:r>
        <w:t>La durée de la saisie ne peut excéder un an (art. 93 al. 2 LP), étant précisé que cette disposition n'interdit pas les saisies successives. Si, durant ce délai, l'office des poursuites a connaissance d'une modification des circonstances déterminante pour le montant de la saisie, il adapte ce dernier (art. 93 al. 3 LP).</w:t>
      </w:r>
    </w:p>
    <w:p>
      <w:r>
        <w:rPr>
          <w:b/>
        </w:rPr>
        <w:t>E. 3.2</w:t>
      </w:r>
    </w:p>
    <w:p>
      <w:r>
        <w:t>Dans le cas d'espèce, le plaignant a eu connaissance des éléments sur lesquels l'Office s'est fondé pour calculer la quotité saisissable de ses revenus avec la communication des écritures responsives de ce dernier, le 27 août 2020. Alors qu'il aurait eu la possibilité de le faire par une écriture spontanée, il ne les a pas remis en cause, avec pour conséquence qu'ils doivent être tenus pour établis.</w:t>
      </w:r>
    </w:p>
    <w:p>
      <w:r>
        <w:t>S'agissant en particulier du revenu mensuel net du plaignant, que celui-ci qualifie de modeste mais ne chiffre pas, l'Office l'a établi à 1'467 fr. 15 sur la base des justificatifs produits pour le premier semestre 2020. Cette manière de procéder, et le résultat obtenu, paraissent de prime abord favorable au plaignant dès lors que cette période s'est caractérisée par un confinement généralisé de plusieurs semaines en raison de la crise sanitaire liée au COVID-19, et donc vraisemblablement par une perte financière pour le débiteur nonobstant les allocations dont il a pu bénéficier. Dans la mesure où les contraintes liées à la crise sanitaire s'étaient allégées pendant l'été, et que l'activité économique avait repris à la même période, il n'aurait à cet égard pas été déraisonnable de la part de l'Office de retenir plutôt le revenu mensuel moyen réalisé en 2019 par le plaignant, soit 1'700 fr., quitte à réexaminer sa situation en application de l'art. 93 al. 3 LP dans l'hypothèse, depuis lors réalisée, d'un nouveau confinement. A supposer qu'elle soit suffisamment motivée sur ce point, la plainte est donc mal fondée.</w:t>
      </w:r>
    </w:p>
    <w:p>
      <w:r>
        <w:t>Les charges retenues par l'Office n'ont fait l'objet d'aucune critique de la part du plaignant et correspondent à sa situation familiale et aux justificatifs produits. Il n'y a donc pas lieu d'y revenir.</w:t>
      </w:r>
    </w:p>
    <w:p>
      <w:r>
        <w:t>C'est par ailleurs à juste titre que l'Office a réparti entre les époux, proportionnellement à leurs revenus, la charge financière de l'entretien du couple. Le grief soulevé par le plaignant à cet égard, selon lequel un tel partage ne serait pas de mise en l'espèce dès lors que la dette faisant l'objet de la poursuite serait née avant le mariage, doit être écarté. La répartition entre les époux des frais d'entretien de la famille effectuée dans le cadre de l'exécution d'une saisie de gain</w:t>
      </w:r>
    </w:p>
    <w:p>
      <w:r>
        <w:t>- 8/9 -</w:t>
      </w:r>
    </w:p>
    <w:p>
      <w:r>
        <w:t>A/2103/2020-CS (art. 93 al. 1 LP) ne dépend en effet pas de la question de savoir si l'époux non débiteur répond ou non de la dette en poursuite, ni par conséquent du caractère matrimonial ou non de celle-ci; elle est bien plutôt l'expression de l'obligation pour les époux de contribuer, chacun selon ses facultés, à l'entretien de la famille (art. 163 al. 1 CC).</w:t>
      </w:r>
    </w:p>
    <w:p>
      <w:r>
        <w:t>Le plaignant soutient qu'il n'exercerait aucune activité en juillet et en août. Cette affirmation n'est toutefois étayée par aucun élément de preuve et paraît difficilement crédible compte tenu de l'activité qu'il exerce. Une absence ou une réduction temporaire de revenu ne fait au demeurant pas obstacle à la saisie puisque, comme indiqué ci-dessus, les montants saisis ne pourront être distribués qu'au terme de la période de validité de la saisie et après que le respect du minimum vital du débiteur sur l'ensemble de cette période eut été vérifié. En tout état, l'admission partielle de la plainte sur la date d'entrée en force de la saisie rend le grief sans objet.</w:t>
      </w:r>
    </w:p>
    <w:p>
      <w:r>
        <w:t>Au vu des considérations qui précèdent, la décision de l'Office doit être confirmée en tant qu'elle fixe à 625 fr. par mois la quotité saisissable des revenus du plaignant (et donc à 840 fr. [arrondi] son minimum vital).</w:t>
      </w:r>
    </w:p>
    <w:p>
      <w:r>
        <w:rPr>
          <w:b/>
        </w:rPr>
        <w:t>E. 4</w:t>
      </w:r>
    </w:p>
    <w:p>
      <w:r>
        <w:t>En définitive, la plainte sera admise dans la mesure où les effets de la saisie seront reportés au 1er septembre 2020. Conformément à l'art. 93 al. 2 LP, ils courront jusqu'au 31 août 2021. L'Office sera en conséquence invité à restituer au plaignant les montants éventuellement perçus en juillet et août 2020.</w:t>
      </w:r>
    </w:p>
    <w:p>
      <w:r>
        <w:t>La plainte sera en revanche rejetée pour le surplus.</w:t>
      </w:r>
    </w:p>
    <w:p>
      <w:r>
        <w:rPr>
          <w:b/>
        </w:rPr>
        <w:t>E. 5</w:t>
      </w:r>
    </w:p>
    <w:p>
      <w:r>
        <w:t>La procédure de plainte est gratuite (art. 20a al. 2 ch. 5 LP; 61 al. 2 let. a OELP) et il ne peut être alloué aucuns dépens dans cette procédure (art. 62 al. 2 OELP). * * * * *</w:t>
      </w:r>
    </w:p>
    <w:p>
      <w:r>
        <w:t>- 9/9 -</w:t>
      </w:r>
    </w:p>
    <w:p>
      <w:r>
        <w:t>A/2103/2020-CS PAR CES MOTIFS, La Chambre de surveillance : A la forme : Déclare recevable la plainte formée le 13 juillet 2020 par A______ contre la saisie de gain exécutée en ses mains par courrier de l'Office cantonal des poursuites du 1er juillet 2020 dans la série n° 2______. Au fond : L'admet en ce sens que la saisie déploiera ses effets du 1er septembre 2020 au 31 août 2021. Invite en conséquence l'Office cantonal des poursuites à restituer à A______ les montants éventuellement versés par ce dernier au titre de la saisie en juillet et en août 2020. Rejette la plainte pour le surplus. Siégeant : Monsieur Patrick CHENAUX, président; Madame Natalie OPPATJA et Monsieur Denis KELLER, juges assesseurs; Madame Véronique AMAUDRY- 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