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DCSO/419/2017 vom 17. August 2017</w:t>
      </w:r>
    </w:p>
    <w:p>
      <w:r>
        <w:t>GE Cour de justice, 2017-08-17, FR</w:t>
      </w:r>
    </w:p>
    <w:p>
      <w:r>
        <w:rPr>
          <w:b/>
        </w:rPr>
        <w:t xml:space="preserve">Quelle: </w:t>
      </w:r>
      <w:r>
        <w:t>https://mcp.opencaselaw.ch/entscheid/ge_gerichte_DCSO_419_2017</w:t>
      </w:r>
    </w:p>
    <w:p>
      <w:r>
        <w:t>FR: GE_GERICHTE DCSO/419/2017 du 17 août 2017</w:t>
      </w:r>
    </w:p>
    <w:p>
      <w:r>
        <w:t>IT: GE_GERICHTE DCSO/419/2017 del 17 agosto 2017</w:t>
      </w:r>
    </w:p>
    <w:p>
      <w:pPr>
        <w:pStyle w:val="Heading2"/>
      </w:pPr>
      <w:r>
        <w:t>Erwägungen</w:t>
      </w:r>
    </w:p>
    <w:p>
      <w:r>
        <w:rPr>
          <w:b/>
        </w:rPr>
        <w:t>E. 1</w:t>
      </w:r>
    </w:p>
    <w:p>
      <w:r>
        <w:t>La Chambre de surveillance est compétente pour statuer sur les plaintes formées en application de la LP (art. 13 LP; art. 126 al. 2 let. c LOJ) contre des mesures non attaquables par la voie judiciaire (art. 17 al. 1 LP), telle la décision déclarant nulle une poursuite et annulant un commandement de payer. Déposée dans le délai légal (art. 17 al. 1 LP) et selon la forme prescrite (art. 9 al. 1 et 2 LaLP; art. 65 al. 1 et 2 LPA), la plainte est recevable.</w:t>
      </w:r>
    </w:p>
    <w:p>
      <w:r>
        <w:t>- 3/4 -</w:t>
      </w:r>
    </w:p>
    <w:p>
      <w:r>
        <w:t>A/2300/2017-CS</w:t>
      </w:r>
    </w:p>
    <w:p>
      <w:r>
        <w:rPr>
          <w:b/>
        </w:rPr>
        <w:t>E. 2</w:t>
      </w:r>
    </w:p>
    <w:p>
      <w:r>
        <w:t>Est litigieuse la question de savoir si l'Office était fondé à déclarer nulle la poursuite et annuler le commandement de payer.</w:t>
      </w:r>
    </w:p>
    <w:p>
      <w:r>
        <w:rPr>
          <w:b/>
        </w:rPr>
        <w:t>E. 2.1</w:t>
      </w:r>
    </w:p>
    <w:p>
      <w:r>
        <w:t>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w:t>
      </w:r>
    </w:p>
    <w:p>
      <w:r>
        <w:rPr>
          <w:b/>
        </w:rPr>
        <w:t>E. 2.2</w:t>
      </w:r>
    </w:p>
    <w:p>
      <w:r>
        <w:t>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reprise par A______ SA du portefeuille d'assurés de D______ SA était donc connue, notamment de la poursuivie. Par ailleurs, la réquisition de poursuite fait état d'un acte de défaut de biens dont le numéro et la date d'établissement sont clairement visés. Ainsi, la désignation inexacte de la créancière – EX-D______ SA au lieu d'A______ SA, qui a repris le portefeuille d'assurés de D______ SA – ne pouvait pas prêter à confusion. Il ne fait, en effet, aucun doute que la créance déduite en poursuite est celle détenue précédemment par D______ SA, dont le portefeuille d'assurés a été repris par A______ SA. Partant, il y a lieu d'accueillir la plainte, d'annuler la décision du 16 mai 2017 et d'inviter l'Office à rectifier ses registres et le commandement de payer en ce sens que la créancière de la poursuite n° 16 xxxx29 A est A______ SA.</w:t>
      </w:r>
    </w:p>
    <w:p>
      <w:r>
        <w:rPr>
          <w:b/>
        </w:rPr>
        <w:t>E. 3</w:t>
      </w:r>
    </w:p>
    <w:p>
      <w:r>
        <w:t>La procédure de plainte est gratuite (art. 20a al. 2 ch. 5 LP, art. 61 al. 2 let. a OELP). * * * * *</w:t>
      </w:r>
    </w:p>
    <w:p>
      <w:r>
        <w:t>- 4/4 -</w:t>
      </w:r>
    </w:p>
    <w:p>
      <w:r>
        <w:t>A/2300/2017-CS PAR CES MOTIFS, La Chambre de surveillance : A la forme : Déclare recevable la plainte formée le 29 mai 2017 par A______ SA contre la décision de l'Office des poursuites du 16 mai 2017 déclarant nulle la poursuite n° 16 xxxx29 A et annulant la notification du commandement de payer y relatif. Au fond : L'admet et annule la décision précitée. Invite l'Office des poursuites à rectifier la poursuite précitée en ce sens que le créancier est A______ SA.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