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DCSO/412/2017 vom 17. August 2017</w:t>
      </w:r>
    </w:p>
    <w:p>
      <w:r>
        <w:t>GE Cour de justice, 2017-08-17, FR</w:t>
      </w:r>
    </w:p>
    <w:p>
      <w:r>
        <w:rPr>
          <w:b/>
        </w:rPr>
        <w:t xml:space="preserve">Quelle: </w:t>
      </w:r>
      <w:r>
        <w:t>https://mcp.opencaselaw.ch/entscheid/ge_gerichte_DCSO_412_2017</w:t>
      </w:r>
    </w:p>
    <w:p>
      <w:r>
        <w:t>FR: GE_GERICHTE DCSO/412/2017 du 17 août 2017</w:t>
      </w:r>
    </w:p>
    <w:p>
      <w:r>
        <w:t>IT: GE_GERICHTE DCSO/412/2017 del 17 agosto 2017</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w:t>
      </w:r>
    </w:p>
    <w:p>
      <w:r>
        <w:rPr>
          <w:b/>
        </w:rPr>
        <w:t>E. 2</w:t>
      </w:r>
    </w:p>
    <w:p>
      <w:r>
        <w:t>En l'espèce, les courriers adressés par le plaignant à la Chambre de céans ne permettent pas de déterminer quel acte de l'Office il entend contester. La Chambre l'a expressément invité à produire la décision attaquée, en attirant son attention sur le fait qu'à défaut, sa plainte serait déclarée irrecevable. Or, dans le délai imparti, le plaignant ne lui a pas fait parvenir copie de la décision attaquée. Partant, sa plainte ne répond pas aux exigences de forme prescrites. Elle est donc irrecevable. Il est encore relevé que s'il convenait d'interpréter les courriers du plaignant comme une demande de sursis complémentaire à la vente, celle-ci serait également irrecevable. En effet, une telle requête après la vente aux enchères est dépourvue de toute portée. Si le plaignant avait voulu obtenir un tel sursis, il lui aurait appartenu de le demander à l'Office et, le cas échéant, de former plainte contre une éventuelle décision de refus de ce dernier. Tel n'a toutefois pas été le cas, et la requête s'avère manifestement tardive.</w:t>
      </w:r>
    </w:p>
    <w:p>
      <w:r>
        <w:rPr>
          <w:b/>
        </w:rPr>
        <w:t>E. 3</w:t>
      </w:r>
    </w:p>
    <w:p>
      <w:r>
        <w:t>La procédure est gratuite. * * * * *</w:t>
      </w:r>
    </w:p>
    <w:p>
      <w:r>
        <w:t>- 4/4 -</w:t>
      </w:r>
    </w:p>
    <w:p>
      <w:r>
        <w:t>A/2218/2017-CS PAR CES MOTIFS, La Chambre de surveillance : A la forme : Déclare irrecevable la plainte formée le 22 mai 2017 par A______ dans la poursuite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