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DCSO/410/2021 vom 21. Oktober 2021</w:t>
      </w:r>
    </w:p>
    <w:p>
      <w:r>
        <w:t>GE Cour de justice, 2021-10-21, FR</w:t>
      </w:r>
    </w:p>
    <w:p>
      <w:r>
        <w:rPr>
          <w:b/>
        </w:rPr>
        <w:t xml:space="preserve">Quelle: </w:t>
      </w:r>
      <w:r>
        <w:t>https://mcp.opencaselaw.ch/entscheid/ge_gerichte_DCSO_410_2021</w:t>
      </w:r>
    </w:p>
    <w:p>
      <w:r>
        <w:t>FR: GE_GERICHTE DCSO/410/2021 du 21 octobre 2021</w:t>
      </w:r>
    </w:p>
    <w:p>
      <w:r>
        <w:t>IT: GE_GERICHTE DCSO/410/2021 del 21 ottobre 2021</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2.1.1 L'office des poursuites chargé d'exécuter la saisie de biens meubles peut les laisser provisoirement (c'est-à-dire jusqu'à leur enlèvement en vue de leur réalisation) entre les mains du débiteur ou du tiers détenteur, à charge de ces derniers de les représenter en tout temps (art. 98 al. 2 LP; cf. DE GOTTRAU, CR LP, n° 17 ad art. 98 LP).</w:t>
      </w:r>
    </w:p>
    <w:p>
      <w:r>
        <w:t>2.1.2 Lors de l'établissement du procès-verbal de saisie, les biens meubles laissés entre les mains du débiteur ou du tiers détenteur sont saisis par simple inscription au procès-verbal de saisie ou par communication orale. La saisie consiste dans ce cas en "la déclaration par laquelle l’office signifie au débiteur poursuivi [...] que certains de ses biens sont mis sous-main de justice" et qu’il n’a pas droit d’en disposer (STOFFEL / CHABLOZ, Voies d'exécution, 2016, p. 164).</w:t>
      </w:r>
    </w:p>
    <w:p>
      <w:r>
        <w:t>2.1.3 Lorsque le créancier requiert la réalisation des objets saisis (art. 116 LP), l'Office en informe le débiteur dans les trois jours (art. 120 LP) et procède à la réalisation dix jours au plus tôt et deux mois au plus tard à compter de la réception de la réquisition (art. 122 LP).</w:t>
      </w:r>
    </w:p>
    <w:p>
      <w:r>
        <w:t>2.2.1 En vertu de l'art. 123 al. 1 LP, lorsque le débiteur rend vraisemblable qu'il peut acquitter sa dette par acomptes réguliers et appropriés, l'Office peut renvoyer la réalisation de douze mois au plus, une fois le premier versement effectué. Dans les poursuites requises en raison de créances colloquées en première classe (art. 219 al. 4 LP), la réalisation peut être renvoyée de six mois au plus (art. 123 al. 2 LP).</w:t>
      </w:r>
    </w:p>
    <w:p>
      <w:r>
        <w:t>L'office des poursuites doit calculer le nombre et le montant des acomptes de telle sorte que la prétention déduite en poursuite soit éteinte en capital, intérêts et frais avec le paiement du dernier acompte. Le sursis ne peut être accordé s'il apparaît que le poursuivi ne pourra l'éteindre dans le délai maximal de douze, respectivement six mois. Lorsque le montant de la prétention déduite en poursuite ou les possibilités patrimoniales du poursuivi le permettent, l'office des poursuites</w:t>
      </w:r>
    </w:p>
    <w:p>
      <w:r>
        <w:t>- 5/6 -</w:t>
      </w:r>
    </w:p>
    <w:p>
      <w:r>
        <w:t>A/1518/2021-CS doit prévoir des acomptes plus élevés afin de réduire la durée du sursis (BETTSCHART, CR LP, n° 13 ad art. 123 LP).</w:t>
      </w:r>
    </w:p>
    <w:p>
      <w:r>
        <w:t>Le sursis à la réalisation ne peut être accordé qu'une seule fois dans la même poursuite (CR LP n° 17 ad art. 123 LP).</w:t>
      </w:r>
    </w:p>
    <w:p>
      <w:r>
        <w:t>2.2.2 Le sursis est caduc de plein droit lorsqu'un acompte n'est pas versé ou l'est avec retard (art. 123 al. 5 LP), et ce, quelle que soit la cause du retard. Dans ce cas, l'office des poursuites doit procéder immédiatement à la réalisation sans nouvelle réquisition du poursuivant. L'office n'est pas habilité à interpeller une nouvelle fois le poursuivi, ni à lui fixer un nouveau délai de paiement (ATF 95 III 16, 18, JdT 1969 II 114, 116, CR LP, n° 21 ad art. 123 LP).</w:t>
      </w:r>
    </w:p>
    <w:p>
      <w:r>
        <w:rPr>
          <w:b/>
        </w:rPr>
        <w:t>E. 2.3</w:t>
      </w:r>
    </w:p>
    <w:p>
      <w:r>
        <w:t>En l'espèce, il résulte des éléments du dossier que l'Office a laissé les actifs saisis, listés dans le procès-verbal de saisie du 8 octobre 2019, en les mains de la société débitrice. L'Office était ainsi légitimé à solliciter en tout temps la possibilité de constater l'existence et l'état de ces actifs, et ce indépendamment de l'avancement de la procédure de réalisation (cf. art. 98 al. 2 LP).</w:t>
      </w:r>
    </w:p>
    <w:p>
      <w:r>
        <w:t>Aussi, l'avis de constat envoyé par l'Office à la plaignante n'est en tant que tel pas critiquable.</w:t>
      </w:r>
    </w:p>
    <w:p>
      <w:r>
        <w:t>La société débitrice se plaint en réalité du fait que l'Office a repris les démarches en vue de la réalisation des actifs saisis, nonobstant les sursis à la vente précédemment accordés, entre novembre 2019 et janvier 2020.</w:t>
      </w:r>
    </w:p>
    <w:p>
      <w:r>
        <w:t>Or, dans la mesure où ces sursis à la vente sont arrivés à échéance au plus tard en janvier 2021, à l'expiration de la durée maximale de douze mois, l'Office était tenu de reprendre le processus de réalisation, une prolongation du sursis n'entrant pas en ligne de compte.</w:t>
      </w:r>
    </w:p>
    <w:p>
      <w:r>
        <w:t>La plaignante avait ainsi nécessairement conscience du fait que seul le complet désintéressement de l'ensemble des créanciers devant bénéficier du produit de la vente pouvait entraîner l'annulation de celle-ci.</w:t>
      </w:r>
    </w:p>
    <w:p>
      <w:r>
        <w:t>En réalité, la plaignante a pu bénéficier d'une extrême mansuétude de la part de l'Office, lequel n'a pas immédiatement repris le processus de réalisation, nonobstant le non-respect par la débitrice d'une partie au moins des échéances de paiement.</w:t>
      </w:r>
    </w:p>
    <w:p>
      <w:r>
        <w:t>Or, la plaignante ne saurait se prévaloir de cette bienveillance pour s'opposer à la vente des actifs saisis. On ne voit de surcroît pas quel préjudice la débitrice aurait pu subir, dès lors qu'elle n'allègue pas qu'elle serait en mesure de régler ses dettes en évitant la vente de ses actifs.</w:t>
      </w:r>
    </w:p>
    <w:p>
      <w:r>
        <w:t>La plainte doit en conséquence être rejetée, puisqu'elle se révèle infondée.</w:t>
      </w:r>
    </w:p>
    <w:p>
      <w:r>
        <w:rPr>
          <w:b/>
        </w:rPr>
        <w:t>E. 3</w:t>
      </w:r>
    </w:p>
    <w:p>
      <w:r>
        <w:t>La procédure de plainte est gratuite (art. 20a al. 2 ch. 5 LP et art. 61 al. 2 let. a OELP) et il ne peut être alloué aucun dépens (art. 62 al. 2 OELP). * * * * *</w:t>
      </w:r>
    </w:p>
    <w:p>
      <w:r>
        <w:t>- 6/6 -</w:t>
      </w:r>
    </w:p>
    <w:p>
      <w:r>
        <w:t>A/1518/2021-CS PAR CES MOTIFS, La Chambre de surveillance : A la forme : Déclare recevable la plainte formée le 3 mai 2021 par A______ SA contre l'avis de constat du 20 avril 2021, série n° 1______. Au fond : La rejette. Siégeant : Madame Verena PEDRAZZINI RIZZI, présidente; Madame Ekaterine BLINOVA et Monsieur Denis KELLER,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