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DCSO/409/2021 vom 21. Oktober 2021</w:t>
      </w:r>
    </w:p>
    <w:p>
      <w:r>
        <w:t>GE Cour de justice, 2021-10-21, FR</w:t>
      </w:r>
    </w:p>
    <w:p>
      <w:r>
        <w:rPr>
          <w:b/>
        </w:rPr>
        <w:t xml:space="preserve">Quelle: </w:t>
      </w:r>
      <w:r>
        <w:t>https://mcp.opencaselaw.ch/entscheid/ge_gerichte_DCSO_409_2021</w:t>
      </w:r>
    </w:p>
    <w:p>
      <w:r>
        <w:t>FR: GE_GERICHTE DCSO/409/2021 du 21 octobre 2021</w:t>
      </w:r>
    </w:p>
    <w:p>
      <w:r>
        <w:t>IT: GE_GERICHTE DCSO/409/2021 del 21 ottobre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soit une décision de non-lieu de séquestre, et par une partie lésée dans ses intérêts (ATF 138 III 219 consid. 2.3; 129 III 595 consid. 3; 120 III 42 consid. 3), la plainte est recevable.</w:t>
      </w:r>
    </w:p>
    <w:p>
      <w:r>
        <w:rPr>
          <w:b/>
        </w:rPr>
        <w:t>E. 2</w:t>
      </w:r>
    </w:p>
    <w:p>
      <w:r>
        <w:t>2.1.1 Selon la jurisprudence, l'ordonnance de séquestre est rendue sur la base de la seule requête du créancier (art. 272 LP). Elle doit être entreprise par la voie de l'opposition (art. 278 al. 1 LP), dont le but est de permettre au juge de vérifier le bien-fondé du séquestre après avoir entendu le débiteur. De son côté, l'office des poursuites exécute l'ordonnance de séquestre (art. 275 LP). Sa décision doit être entreprise par la voie de la plainte (art. 17 LP) auprès de l'autorité de surveillance (arrêt du Tribunal fédéral 5A_731/2016 du 20 décembre 2016 consid. 3, publié in SJ 2017 I p. 325; arrêt 5A_150/2015 du 4 juin 2015 consid. 5.2.3, publié in SJ 2016 I p. 138). Les compétences de l'office des poursuites et des autorités de surveillance sont limitées aux mesures proprement dites d'exécution du séquestre, ainsi qu'au contrôle de la régularité formelle de l'ordonnance de séquestre. A cet égard, l'office vérifiera que toutes les mentions prescrites par l'art. 274 al. 2 ch. 1 à</w:t>
      </w:r>
    </w:p>
    <w:p>
      <w:r>
        <w:rPr>
          <w:b/>
        </w:rPr>
        <w:t>E. 2.2</w:t>
      </w:r>
    </w:p>
    <w:p>
      <w:r>
        <w:t>En l'espèce, il n'est pas litigieux que le débiteur séquestré n'est pas le titulaire du compte auprès de D______ visé par l'ordonnance de séquestre, détenu par C______.</w:t>
      </w:r>
    </w:p>
    <w:p>
      <w:r>
        <w:t>Selon les indications de cette dernière, aucun avoir appartenant au débiteur séquestré ne se trouvait sur le compte précité au moment du séquestre.</w:t>
      </w:r>
    </w:p>
    <w:p>
      <w:r>
        <w:t>Aussi, le séquestre du compte n'ayant pas porté, c'est à juste titre que l'Office a prononcé un non-lieu de séquestre.</w:t>
      </w:r>
    </w:p>
    <w:p>
      <w:r>
        <w:t>La plaignante a certes rendu vraisemblable devant le juge du séquestre que les prestations fournies par le débiteur séquestré à la charge de l'assurance-maladie obligatoire étaient remboursées par les assureurs-maladie à C______, selon les indications de l'intéressé.</w:t>
      </w:r>
    </w:p>
    <w:p>
      <w:r>
        <w:t>Interpellée par l'Office, C______ a toutefois précisé que le débiteur séquestré n'était pas leur client, mais une société à responsabilité limitée.</w:t>
      </w:r>
    </w:p>
    <w:p>
      <w:r>
        <w:t>Or, quand bien même le débiteur séquestré serait dans les faits le bénéficiaire économique des créances envers C______, comme le soutient la plaignante, le séquestre de celles-ci suppose, conformément à la jurisprudence, que l'ordonnance de séquestre mentionne l'identité du tiers disposant de la titularité formelle des droits devant être séquestrés. Or, l'ordonnance de séquestre du 11 février 2021 ne précise pas l'identité de la société cliente susceptible de détenir formellement, dans les livres de C______, des avoirs appartenant en réalité au débiteur séquestré.</w:t>
      </w:r>
    </w:p>
    <w:p>
      <w:r>
        <w:t>La décision de non-lieu rendue le 28 avril 2021 par l'Office était par conséquent bien fondée, ce qui entraîne le rejet de la plainte. 3. La procédure de plainte est gratuite (art. 20a al. 2 ch. 5 LP et art. 61 al. 2 let. a OELP) et il ne peut être alloué aucun dépens (art. 62 al. 2 OELP). * * * * *</w:t>
      </w:r>
    </w:p>
    <w:p>
      <w:r>
        <w:t>- 6/6 -</w:t>
      </w:r>
    </w:p>
    <w:p>
      <w:r>
        <w:t>A/1631/2021-CS PAR CES MOTIFS, La Chambre de surveillance :</w:t>
      </w:r>
    </w:p>
    <w:p>
      <w:r>
        <w:t>A la forme : Déclare recevable la plainte formée le 10 mai 2021 par A______ contre le procès-verbal de non-lieu de séquestre du 28 avril 2021, séquestre n° 2______. Au fond : La rejette. Siégeant : Madame Verena PEDRAZZINI RIZZI, présidente; Madame Ekaterine BLINOVA et Monsieur Denis KELLER, juges assesseur(e)s;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LP figurent dans l'ordonnance ou encore que la désignation des biens y soit suffisamment précise pour permettre une exécution sans risque de confusion ou d'équivoque. Ce pouvoir d'examen entre par définition dans les attributions d'un organe d'exécution qui ne peut donner suite à un ordre lacunaire, imprécis ou entaché d'un défaut qui le rend inopérant, ni exécuter un séquestre nul (ATF 142 III 291 consid. 2.1 et les références). Tel pourrait être le cas si l'ordonnance ne désigne pas les biens à séquestrer avec suffisamment de précision ou qu'elle ne contient pas toutes les informations requises par l'art. 274 LP. En revanche, l'office des poursuites est tenu d'obtempérer à une ordonnance de séquestre régulière en la forme. Il n'a pas la compétence d'en examiner le bien-fondé, notamment de vérifier les conditions justifiant l'octroi de la mesure. C'est ainsi que la question de savoir si le créancier a réussi à rendre vraisemblable que certaines valeurs appartiennent au débiteur malgré l'apparence formelle relève de la compétence du juge du séquestre, respectivement du juge de l'opposition (ATF 130 III 579 consid. 2.2.4 et les références; arrêt 5A_730/2016 du 20 décembre 2016 consid. 3.2.1 et 3.2.2). L'office ne saurait non plus combler d'éventuelles lacunes, notamment en ce qui concerne la désignation des biens (cf. art. 272 al. 1 ch. 3 LP; cf. arrêts 7B.57/2004 du 19 juillet 2004, consid. 2.2.3; 5A_615/2014 du 11 décembre 2014 consid. 3.2 et la référence, publié in SJ 2015 I p. 133).</w:t>
      </w:r>
    </w:p>
    <w:p>
      <w:r>
        <w:t>2.1.2 Lorsque le séquestre vise des biens dont le détenteur formel est un tiers, mais dont le débiteur serait l'ayant droit économique, l'ordonnance de séquestre doit expressément désigner ce tiers (cf. DCSO/356/2020 du 16 juillet 2020).</w:t>
      </w:r>
    </w:p>
    <w:p>
      <w:r>
        <w:t>- 5/6 -</w:t>
      </w:r>
    </w:p>
    <w:p>
      <w:r>
        <w:t>A/1631/2021-CS Ainsi, dans la mesure où elle n'indiquerait pas les noms des tiers auxquels doivent appartenir à titre simplement formel des biens du débiteur, une ordonnance de séquestre serait inexécutable (ATF 130 III 579 consid. 2.2.1 et 2.2.3 et arrêt du Tribunal fédéral 5A_730/2016 du 20 décembre 2016 consid. 3.2.2; JAQUES, La saisie et le séquestre des droits patrimoniaux dont le débiteur est l'ayant droit économique, in ZZZ 2005 p. 307 ss, 346).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