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DCSO/406/2012 vom 25. Oktober 2012</w:t>
      </w:r>
    </w:p>
    <w:p>
      <w:r>
        <w:t>GE Cour de justice, 2012-10-25, FR</w:t>
      </w:r>
    </w:p>
    <w:p>
      <w:r>
        <w:rPr>
          <w:b/>
        </w:rPr>
        <w:t xml:space="preserve">Quelle: </w:t>
      </w:r>
      <w:r>
        <w:t>https://mcp.opencaselaw.ch/entscheid/ge_gerichte_DCSO_406_2012</w:t>
      </w:r>
    </w:p>
    <w:p>
      <w:r>
        <w:t>FR: GE_GERICHTE DCSO/406/2012 du 25 octobre 2012</w:t>
      </w:r>
    </w:p>
    <w:p>
      <w:r>
        <w:t>IT: GE_GERICHTE DCSO/406/2012 del 25 ottobre 2012</w:t>
      </w:r>
    </w:p>
    <w:p>
      <w:pPr>
        <w:pStyle w:val="Heading2"/>
      </w:pPr>
      <w:r>
        <w:t>Regeste</w:t>
      </w:r>
    </w:p>
    <w:p>
      <w:r>
        <w:t>Résumé: La plaignante conteste la créance réclamée.</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w:t>
      </w:r>
    </w:p>
    <w:p>
      <w:r>
        <w:rPr>
          <w:b/>
        </w:rPr>
        <w:t>E. 1.2</w:t>
      </w:r>
    </w:p>
    <w:p>
      <w:r>
        <w:t>Une commination de faillite constitue une mesure sujette à plainte. La plaignante, poursuivie, a qualité pour agir par cette voie et a agi en temps utile.</w:t>
      </w:r>
    </w:p>
    <w:p>
      <w:r>
        <w:rPr>
          <w:b/>
        </w:rPr>
        <w:t>E. 2.1</w:t>
      </w:r>
    </w:p>
    <w:p>
      <w:r>
        <w:t>Sous réserve d’un abus de droit manifeste, il n’appartient ni aux offices des poursuites ni aux autorités de surveillance de décider si une prétention est exigée à bon droit ou non (ATF 115 III 18 consid. 3b; ATF non publié 7B.219/2006 et 7B.220/2006 du 16 avril 2007 consid. 3.3). La plainte ne peut donc jamais aboutir à un jugement sur le fond du droit qui fait l’objet de l’exécution forcée : un tel</w:t>
      </w:r>
    </w:p>
    <w:p>
      <w:r>
        <w:t>- 3/4 -</w:t>
      </w:r>
    </w:p>
    <w:p>
      <w:r>
        <w:t>A/3000/2012-CS jugement relève exclusivement de la juridiction civile ou administrative (Pierre- Robert GILLIERON, Poursuite pour dettes, faillite et concordat, 4ème éd., p. 43).</w:t>
      </w:r>
    </w:p>
    <w:p>
      <w:r>
        <w:rPr>
          <w:b/>
        </w:rPr>
        <w:t>E. 2.2</w:t>
      </w:r>
    </w:p>
    <w:p>
      <w:r>
        <w:t>En l’espèce, la plaignante, qui indique vouloir agir contre la poursuivante pour non-exécution du contrat initial et défaut d'expertise, conteste le montant qui lui est réclamé. Ce moyen n’est cependant pas recevable dans le cadre de la présente plainte puisqu’il ne met pas en cause la violation d’une disposition propre à la législation sur l’exécution forcée. Par ailleurs, la plaignante ne soutient pas qu'elle n'a reçu ni la convocation à l'audience de mainlevée, ni le jugement de mainlevée du 29 juin 2012 (ATF 130 III 396 consid. 1.2.2, JdT 2005 II 87). La plainte sera par conséquent déclarée irrecevable, aucun abus manifeste de droit, sanctionné le cas échéant par la nullité de la poursuite, n’étant au demeurant établi. Il sera au surplus rappelé que la poursuite se continue par voie de faillite lorsque, comme en l'espèce, la débitrice est inscrite au registre du commerce en qualité de société en nom collectif (art. 39 al. 1 ch. 6 LP) et qu'aucune des exceptions prévues à l'art. 43 LP n'est réalisée.</w:t>
      </w:r>
    </w:p>
    <w:p>
      <w:r>
        <w:rPr>
          <w:b/>
        </w:rPr>
        <w:t>E. 3</w:t>
      </w:r>
    </w:p>
    <w:p>
      <w:r>
        <w:t>La présente décision est rendue en application des art. 72 LPA et 9 al. 4 LaLP.</w:t>
      </w:r>
    </w:p>
    <w:p>
      <w:r>
        <w:t>* * * * *</w:t>
      </w:r>
    </w:p>
    <w:p>
      <w:r>
        <w:t>- 4/4 -</w:t>
      </w:r>
    </w:p>
    <w:p>
      <w:r>
        <w:t>A/3000/2012-CS PAR CES MOTIFS, La Chambre de surveillance : Déclare irrecevable la plainte formée le 5 octobre 2012 par C______ (SNC) contre la commination de faillite, poursuite n° 12 xxxx47 D. Siégeant : Madame Ariane WEYENETH, présidente; Monsieur Antoine HAMDAN et Monsieur Denis KELLER,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