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DCSO/402/2022 vom 6. Oktober 2022</w:t>
      </w:r>
    </w:p>
    <w:p>
      <w:r>
        <w:t>GE Cour de justice, 2022-10-06, FR</w:t>
      </w:r>
    </w:p>
    <w:p>
      <w:r>
        <w:rPr>
          <w:b/>
        </w:rPr>
        <w:t xml:space="preserve">Quelle: </w:t>
      </w:r>
      <w:r>
        <w:t>https://mcp.opencaselaw.ch/entscheid/ge_gerichte_DCSO_402_2022</w:t>
      </w:r>
    </w:p>
    <w:p>
      <w:r>
        <w:t>FR: GE_GERICHTE DCSO/402/2022 du 6 octobre 2022</w:t>
      </w:r>
    </w:p>
    <w:p>
      <w:r>
        <w:t>IT: GE_GERICHTE DCSO/402/2022 del 6 ottobre 2022</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 1.1.2 La plainte doit être déposée, sous forme écrite et motivée (art. 9 al. 1 et 2 LaLP; art. 65 al. 1 et 2 LPA, applicable par renvoi de l'art. 9 al. 4 LaLP), dans les dix jours de celui où le plaignant a eu connaissance de la mesure (art. 17 al. 2 LP).</w:t>
      </w:r>
    </w:p>
    <w:p>
      <w:r>
        <w:t>1.1.3 En application de l'art. 32 al. 2 LP, un acte déposé en temps utile auprès d'une autorité de poursuite incompétente – office des poursuites, des faillites ou</w:t>
      </w:r>
    </w:p>
    <w:p>
      <w:r>
        <w:t>- 5/8 -</w:t>
      </w:r>
    </w:p>
    <w:p>
      <w:r>
        <w:t>A/1887/2022-CS autorité de surveillance, notamment une plainte au sens de l'art. 17 LP – est réputé respecter le délai; l'autorité incompétente communique l'acte à l'autorité compétente sans retard. L'application de l'art. 32 al. 2 LP suppose que le déposant se soit trouvé dans l'erreur sur l'autorité qu'il devait saisir ou, autrement dit, qu'il ait cru de bonne foi adresser son acte à l'autorité compétente pour en connaître. Le fait pour un justiciable de s'adresser consciemment et volontairement à une autorité incompétente alors que l'autorité compétente lui est connue doit à cet égard être qualifié d'abus de droit (ATF 145 III 487 consid. 3.4.5; 100 III 8 et 130 III 515 consid. 4; arrêt du Tribunal fédéral 5A_421/2012 du 20 décembre 2012 consid. 3.1; STAEHELIN, Basler Kommentar SchKG Ergänzungsband, ad n° 6 b ad art. 32 LP; BAERISWYL, MILANI, SCHMID, Zurcher Kommentar, Kommentar zum Bundesgesetz über Schuldbetreibung und Konkurs, Hrsg.: KREN KOSTKIEWICZ/VOCK, n° 16 ad art. 32 LP). 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w:t>
      </w:r>
    </w:p>
    <w:p>
      <w:r>
        <w:rPr>
          <w:b/>
        </w:rPr>
        <w:t>E. 1.2</w:t>
      </w:r>
    </w:p>
    <w:p>
      <w:r>
        <w:t>En l'espèce, la plainte a été déposée dans le délai et selon les formes requises. Elle a certes été adressée à une autorité incompétente; mais s'agissant d'une demande de reconsidération adressée à l'Office dont il était demandé qu'elle soit transmise à l'autorité de surveillance en cas de refus d'entrer en matière de l'Office, elle est également recevable à cet égard.</w:t>
      </w:r>
    </w:p>
    <w:p>
      <w:r>
        <w:rPr>
          <w:b/>
        </w:rPr>
        <w:t>E. 2</w:t>
      </w:r>
    </w:p>
    <w:p>
      <w:r>
        <w:t>La plaignante estime qu'au vu de la teneur de ses requêtes de mainlevée des oppositions formées aux commandements de payer, les jugements prononçant la mainlevée doivent être considérés comme annulant toutes les oppositions formées à l'ensemble des commandements de payer notifiés dans les deux poursuites litigieuses et qu'il doit être donné suite à ses réquisitions de réalisation du gage.</w:t>
      </w:r>
    </w:p>
    <w:p>
      <w:r>
        <w:t>2.1.1 Lorsque des codébiteurs sont poursuivis simultanément, un commandement de payer est notifié à chacun d'eux (art. 70 al. 2 LP). Cette disposition impose l'ouverture de deux poursuites séparées à l'encontre de chacun des codébiteurs, même s'ils sont poursuivis en réalisation d'un gage portant sur le même bien. L'opposition faite par l'un des codébiteurs n'a d'effet qu'en ce qui le concerne et demeure sans influence sur les autres poursuites. Mais la réalisation ne peut être exécutée tant que les commandements de payer notifiés au poursuivi et au co-poursuivi ne sont pas passés en force (arrêt du tribunal fédéral 5A_76/2011 du 16 février 2012 consid. 6).</w:t>
      </w:r>
    </w:p>
    <w:p>
      <w:r>
        <w:t>2.1.2 En application de l'art. 151 al. 1 LP, la réquisition de poursuite faite en vertu d'une créance garantie par gage doit énoncer, outre les indications prescrites à l'art. 67 LP, l'objet du gage et mentionnera : a. le cas échéant, le nom du tiers qui a constitué le gage ou en est devenu propriétaire; b. le cas échéant, le fait que</w:t>
      </w:r>
    </w:p>
    <w:p>
      <w:r>
        <w:t>- 6/8 -</w:t>
      </w:r>
    </w:p>
    <w:p>
      <w:r>
        <w:t>A/1887/2022-CS l'immeuble grevé d'un gage est le logement de la famille ou le logement commun du débiteur ou du tiers.</w:t>
      </w:r>
    </w:p>
    <w:p>
      <w:r>
        <w:t>A teneur de l'art. 153 al. 2 LP, un exemplaire du commandement de payer est également notifié : a. au tiers qui a constitué le gage ou en est devenu propriétaire; b. au conjoint ou au partenaire enregistré du débiteur ou du tiers lorsque l'immeuble grevé est le logement de la famille ou le logement commun.</w:t>
      </w:r>
    </w:p>
    <w:p>
      <w:r>
        <w:t>Le conjoint, le partenaire enregistré et le tiers peuvent former opposition au même titre que le débiteur (art. 153 al. 2bis LP).</w:t>
      </w:r>
    </w:p>
    <w:p>
      <w:r>
        <w:t>La notification d'un exemplaire du commandement de payer aux tiers visés à l'art. 153 al. 2 lit. a et b LP leur fait acquérir la qualité de co-poursuivis, avec tous les droits qui en découlent. Il n'y a qu'une seule poursuite, mais plusieurs poursuivis, qui peuvent exercer leurs droits indépendamment les uns des autres. L'art. 153 al. 2 LP ne constitue pas une simple prescription d'ordre, si bien que la notification des commandements de payer aux personnes visées par cette disposition est une condition de la continuation de la poursuite. Chacun des intéressés (débiteur, tiers propriétaire, époux habitant le logement familial) dispose d'un droit propre de former opposition. La réalisation ne peut être requise qu'une fois toutes les oppositions levées ou retirées (FOËX, Commentaire Romand, Poursuite et faillite, 2005, n° 20, 22 et 27 ad art. 153 LP).</w:t>
      </w:r>
    </w:p>
    <w:p>
      <w:r>
        <w:t>La réalisation de l'objet grevé peut être requise par le créancier poursuivant qu'à condition qu'il n'ait pas été fait opposition au commandement de payer ou que cette opposition ait été levée (art. 154 LP). Si plusieurs commandements de payer ont été notifiés (art. 153 al. 2 LP, art. 100 al. 1 ORFI), cette condition doit être remplie pour chacun des commandements de payer (cf. art. 100 al. 1, 2e phrase, ORFI en matière immobilière). Le créancier doit établir que les oppositions ont été écartées; à défaut, l'Office ne donne pas suite à la réquisition. (FOËX, op. cit., n° 3 et 4 ad art. 154 LP ; GILLIERON, Commentaire de la loi fédérale sur la poursuite pour dette et la faillite, n° 6 et 8 ad art. 154 LP).</w:t>
      </w:r>
    </w:p>
    <w:p>
      <w:r>
        <w:rPr>
          <w:b/>
        </w:rPr>
        <w:t>E. 2.2</w:t>
      </w:r>
    </w:p>
    <w:p>
      <w:r>
        <w:t>En l'espèce, la plaignante a formulé ses requêtes de mainlevée des oppositions de telle manière qu'elles apparaissaient dirigées uniquement contre le débiteur visé par la poursuite – qui seul est mentionné, avec le détail de ses qualités, dans le rubrum – et non pas contre le conjoint et copropriétaire du bien gagé, qui se sont également vu notifier un commandement de payer dans la même poursuite. La plaignante a certes mentionné en pied de la page d'en-tête de ses requêtes qu'elle entendait obtenir la mainlevée aux trois commandements de payer notifiés dans le cadre de la poursuite; elle a également mentionné la mainlevée de l'opposition à trois commandements de payer dans ses conclusions. Le Tribunal n'a toutefois pas tenu compte des observations en pied d'en-tête et de la précision contenue dans les conclusions et s'est uniquement fié au rubrum de la requête. Il n'a par conséquent mentionné, dans la procédure et dans le jugement de mainlevée, qu'une seule partie citée, soit le débiteur visé par la poursuite. Seul ce dernier a été cité aux</w:t>
      </w:r>
    </w:p>
    <w:p>
      <w:r>
        <w:t>- 7/8 -</w:t>
      </w:r>
    </w:p>
    <w:p>
      <w:r>
        <w:t>A/1887/2022-CS débats sommaires et s'est vu notifier le jugement de mainlevée. Le conjoint et codébiteur n'a par conséquent pas participé à la procédure de mainlevée et n'a pu être entendu à propos des oppositions qu'il avait formées aux exemplaires du commandement de payer qui lui étaient destinés. Les jugements de mainlevée n'ont par conséquent pu prononcer que la mainlevée de l'opposition formée au commandement de payer destiné au débiteur visé par la poursuite et non pas aux commandements de payer destinés au conjoint et copropriétaire. Ainsi, deux des commandements de payer sur trois, dans chacune des poursuites litigieuses, ne sont pas exécutoires. C'est ainsi à bon droit que l'Office a refusé de donner suite aux réquisitions de vente de la plaignante.</w:t>
      </w:r>
    </w:p>
    <w:p>
      <w:r>
        <w:t>Contrairement à ce que soutient la plaignante, le fait que des exemplaires du commandement de payer sont notifiés au conjoint et au copropriétaire du bien engagé les fait bénéficier de droits équivalents à ceux du poursuivi dans le processus d'opposition et de mainlevée. Ils devaient par conséquent être formellement cités dans la procédure de mainlevée pour y exercer leurs droits et un jugement de mainlevée devait être rendu spécifiquement à leur encontre, ce qui n'a pas été respecté en l'occurrence.</w:t>
      </w:r>
    </w:p>
    <w:p>
      <w:r>
        <w:t>La plainte sera par conséquent rejetée.</w:t>
      </w:r>
    </w:p>
    <w:p>
      <w:r>
        <w:rPr>
          <w:b/>
        </w:rPr>
        <w:t>E. 3</w:t>
      </w:r>
    </w:p>
    <w:p>
      <w:r>
        <w:t>La procédure de plainte est gratuite (art. 20a al. 2 ch. 5 LP; art. 61 al. 2 let. a OELP) et ne donne pas lieu à l'allocation de dépens (art. 62 al. 2 OELP).</w:t>
      </w:r>
    </w:p>
    <w:p>
      <w:r>
        <w:t>* * * * *</w:t>
      </w:r>
    </w:p>
    <w:p>
      <w:r>
        <w:t>- 8/8 -</w:t>
      </w:r>
    </w:p>
    <w:p>
      <w:r>
        <w:t>A/1887/2022-CS PAR CES MOTIFS, La Chambre de surveillance : A la forme : Déclare recevable la plainte formée le 3 juin 2022 par A______ (SUISSE) SA contre la décision de rejet de la réquisition de vente rendue le 31 mai 2022 par l'Office cantonal des poursuites dans le cadre de la poursuite n° 5______ contre B______. Au fond : La rejette. Siégeant : Monsieur Jean REYMOND, président; Madame Ekaterine BLINOVA et Monsieur Anthony HUGUENIN,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