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DCSO/3/2024 vom 11. Januar 2024</w:t>
      </w:r>
    </w:p>
    <w:p>
      <w:r>
        <w:t>GE Cour de justice, 2024-01-11, FR</w:t>
      </w:r>
    </w:p>
    <w:p>
      <w:r>
        <w:rPr>
          <w:b/>
        </w:rPr>
        <w:t xml:space="preserve">Quelle: </w:t>
      </w:r>
      <w:r>
        <w:t>https://mcp.opencaselaw.ch/entscheid/ge_gerichte_DCSO_3_2024</w:t>
      </w:r>
    </w:p>
    <w:p>
      <w:r>
        <w:t>FR: GE_GERICHTE DCSO/3/2024 du 11 janvier 2024</w:t>
      </w:r>
    </w:p>
    <w:p>
      <w:r>
        <w:t>IT: GE_GERICHTE DCSO/3/2024 del 11 gennaio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Les art. 91 à 109 relatifs à la saisie s’appliquent par analogie à l’exécution du séquestre (art. 275 LP). Est déterminant pour décider du caractère saisissable d’un actif le moment de l’exécution du séquestre (consid. 6.1). Certains actifs sont déclarés insaisissables en raison de leur caractère indispensable à l’égard du débiteur et de sa famille (art. 92 LP). Il en va ainsi des « droits aux prestations de prévoyance et de libre passage non encore exigibles à l’égard d’une institution de prévoyance professionnelle » (art. 92 al. 1 ch. 10 LP). Cette norme tient compte du principe fondamental de la LPP selon lequel la protection offerte par les institutions de prévoyance est à maintenir jusqu’à la survenance d’un cas de prévoyance. L’insaisissabilité vaut tant pour le domaine obligatoire que pour la prévoyance étendue. Ne peuvent en revanche pas bénéficier de ce statut particulier les actifs du pilier 3b (arrêt du Tribunal fédéral 5A_746/2010 du 12 janvier 2011, consid. 3.1) dont le preneur a la faculté de disposer à sa guise, sous forme de cession, de mise en gage, d'avances sur police ou de rachat (ATF 121 III 285 consid. 1c et les références citées ; arrêt du Tribunal fédéral 5A_746/2010 du 12 janvier 2011, consid. 3.1).</w:t>
      </w:r>
    </w:p>
    <w:p>
      <w:r>
        <w:t>Les avoirs du pilier 3B sont assimilables à n’importe quel avoir d’épargne et sont donc entièrement saisissables. Ceci s’explique notamment par le fait que leur régime ne dépend pas de celui de la LPP, mais de celui de la LCA (MUSTER/VALTERIO, La saisie et le séquestre des avoirs LPP et 3ème pilier, PCEF 62/2023 p. 138 ss, p. 145).</w:t>
      </w:r>
    </w:p>
    <w:p>
      <w:r>
        <w:t>2.1.2 L’article 93 LP ne constitue pas non plus une limitation à l’exécution forcée des prestations découlant d’un tel contrat. Dans le cas d’une police d’assurance sur la vie ordinaire, la valeur de rachat saisie ne représente pas une rente capitalisée au sens de l’article 93 LP, mais le capital en cas de vie du contrat conclu. Elle peut donc être saisie au premier chef, selon l’article 95 al. 1 LP, et intégralement (LEHMANN/DUC, Assurancesvie, Quelques réflexions sur le droit de rachat en lien avec l'exécution forcée, in REAS 2014, n. 3.7.3; arrêt du Tribunal fédéral 5A_746/2010 précité consid. 3.1 et 3.2).</w:t>
      </w:r>
    </w:p>
    <w:p>
      <w:r>
        <w:rPr>
          <w:b/>
        </w:rPr>
        <w:t>E. 2.2</w:t>
      </w:r>
    </w:p>
    <w:p>
      <w:r>
        <w:t>En l'espèce, il est admis que le séquestre a porté sur une créance fondée sur une police de prévoyance libre (3e pilier B), qui a donc une valeur de rachat. Il ne s'agit ainsi pas d'un avoir insaisissable au sens de l'art. 92 al. 1 ch. 10 LP.</w:t>
      </w:r>
    </w:p>
    <w:p>
      <w:r>
        <w:t>- 4/5 -</w:t>
      </w:r>
    </w:p>
    <w:p>
      <w:r>
        <w:t>A/2609/2023-CS</w:t>
      </w:r>
    </w:p>
    <w:p>
      <w:r>
        <w:t>Il n’y a par ailleurs pas lieu de distinguer selon qu’une rente est déjà servie ou non. Le versement périodique effectué n'avait donc pas à être intégré dans les revenus du poursuivi au sens de l'art. 93 LP.</w:t>
      </w:r>
    </w:p>
    <w:p>
      <w:r>
        <w:t>La décision attaquée, qui a refusé d'exécuter le séquestre au motif que la rente issue de la police de prévoyance libre était relativement saisissable, est donc mal- fondée et sera annulée.</w:t>
      </w:r>
    </w:p>
    <w:p>
      <w:r>
        <w:rPr>
          <w:b/>
        </w:rPr>
        <w:t>E. 3</w:t>
      </w:r>
    </w:p>
    <w:p>
      <w:r>
        <w:t>La procédure de plainte est gratuite (art. 20a al. 2 ch. 5 LP; art. 61 al. 2 lit. a OELP) et il n'est pas alloué de dépens (art. 62 al. 2 OELP). * * * * *</w:t>
      </w:r>
    </w:p>
    <w:p>
      <w:r>
        <w:t>- 5/5 -</w:t>
      </w:r>
    </w:p>
    <w:p>
      <w:r>
        <w:t>A/2609/2023-CS PAR CES MOTIFS, La Chambre de surveillance : A la forme : Déclare recevable la plainte formée le 18 août 2023 par A______ contre le procès- verbal de non-lieu de séquestre n° 2______ établi le 2 août 2023 par l'Office cantonal des poursuites. Au fond : L'admet. Annule en conséquence ledit procès-verbal. Siégeant : Madame Verena PEDRAZZINI RIZZI, présidente; Monsieur Luca MINOTTI et Monsieur Denis KELLER, juges assesseurs ;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