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DCSO/39/2010 vom 21. Januar 2010</w:t>
      </w:r>
    </w:p>
    <w:p>
      <w:r>
        <w:t>GE Cour de justice, 2010-01-21, FR</w:t>
      </w:r>
    </w:p>
    <w:p>
      <w:r>
        <w:rPr>
          <w:b/>
        </w:rPr>
        <w:t xml:space="preserve">Quelle: </w:t>
      </w:r>
      <w:r>
        <w:t>https://mcp.opencaselaw.ch/entscheid/ge_gerichte_DCSO_39_2010</w:t>
      </w:r>
    </w:p>
    <w:p>
      <w:r>
        <w:t>FR: GE_GERICHTE DCSO/39/2010 du 21 janvier 2010</w:t>
      </w:r>
    </w:p>
    <w:p>
      <w:r>
        <w:t>IT: GE_GERICHTE DCSO/39/2010 del 21 gennaio 2010</w:t>
      </w:r>
    </w:p>
    <w:p>
      <w:pPr>
        <w:pStyle w:val="Heading2"/>
      </w:pPr>
      <w:r>
        <w:t>Regeste</w:t>
      </w:r>
    </w:p>
    <w:p>
      <w:r>
        <w:t>Résumé: La Commission de surveillance a admis que la poursuite, manifestement infondée, procède d'un abus de droit et a constaté sa nullité.</w:t>
      </w:r>
    </w:p>
    <w:p>
      <w:pPr>
        <w:pStyle w:val="Heading2"/>
      </w:pPr>
      <w:r>
        <w:t>Volltext</w:t>
      </w:r>
    </w:p>
    <w:p>
      <w:r>
        <w:t>REPUBLIQUE ET</w:t>
      </w:r>
    </w:p>
    <w:p>
      <w:r>
        <w:t>CANTON DE GENEVE</w:t>
      </w:r>
    </w:p>
    <w:p>
      <w:r>
        <w:t>POUVOIR JUDICIAIRE</w:t>
      </w:r>
    </w:p>
    <w:p>
      <w:r>
        <w:t>DCSO/39/10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21 JANVIER 2010 Cause A/4044/2009, plainte 17 LP formée le 10 novembre 2009 par M. Z______.</w:t>
      </w:r>
    </w:p>
    <w:p>
      <w:r>
        <w:t>Décision communiquée à : - M. Z______</w:t>
      </w:r>
    </w:p>
    <w:p>
      <w:r>
        <w:t>- M. T______</w:t>
      </w:r>
    </w:p>
    <w:p>
      <w:r>
        <w:t>- Office des poursuites</w:t>
      </w:r>
    </w:p>
    <w:p>
      <w:r>
        <w:t>- 2 -</w:t>
      </w:r>
    </w:p>
    <w:p>
      <w:r>
        <w:t>E N F A I T A. Le 16 janvier 2008, l'Office des poursuites (ci-après : l'Office) a enregistré une réquisition de poursuite dirigée par M. T______ contre M. Z______ en paiement de 17'068 fr. 60 plus intérêts à 5% du 2 décembre 2004. La cause de l'obligation mentionnée était : "Sinistre du xx 2004/Branche Vol Effraction. Dossier no 20xxx41 Cambriolage du Magasin sis xx, rue G______, Genève en date du xx 2004. Sinistre couvert par l'assurance entreprise : no 11xxx02 du xx 1997". Sous la rubrique "Autres observations", il était indiqué : "La couverture de l'assurance n'a jamais été éteinte car la prime, les frais de retard et intérêts ont étaient payés en date du xx et xx.12.2004, soit fr. 1'334.70 + fr. 112.80, selon les recommandations de l'inspecteur O______".</w:t>
      </w:r>
    </w:p>
    <w:p>
      <w:r>
        <w:t>Un commandement de payer, poursuite n° 08 xxxx58 B, a été à notifié à M. Z______ le 24 janvier 2008.</w:t>
      </w:r>
    </w:p>
    <w:p>
      <w:r>
        <w:t>Par courrier adressé le même jour à l'Office, le prénommé a déclaré qu'il formait opposition totale. Il indiquait qu'aucune indemnité n'était due, le montant de la prime étant impayé à la date du sinistre et la couverture suspendue, faits que M. T______ n'ignorait point. B. Par acte posté le 10 novembre 2009, M. Z______ a saisi la Commission de céans. Il demande l'annulation de la poursuite n° 08 xxxx58 B. M. Z______, qui déclare avoir "absolument" besoin d'une attestation de non poursuite, expose que M. T______ n'aurait jamais dû engager une poursuite à son encontre. Il produit un document établi par Y______, Société d'assurances SA et daté du 29 septembre 2009, à teneur duquel cette dernière déclare que la poursuite dont il est question est totalement infondée, que M. Z______ est agent de Y______ SA pour l'Agence générale de Genève et que M. T______, s'il conteste sa décision, aurait dû faire notifier le commandement de payer à Y______ SA. M. Z______ produit également un extrait des poursuites le concernant que lui a délivré l'Office le 3 septembre 2009, dont il ressort qu'il fait l'objet d'une seule poursuite, soit celle dirigée à son encontre par M. T______.</w:t>
      </w:r>
    </w:p>
    <w:p>
      <w:r>
        <w:t>Dans son rapport du 1er décembre 2009, l'Office relève en substance qu'il lui est difficile de se prononcer sur la réalisation effective d'un cas d'abus de droit sans entendre au préalable les explications du prétendu créancier ; cela étant, il semble toutefois que ce dernier n'ait aucun motif valable pour requérir l'ouverture d'une poursuite à l'encontre du représentant de Y______, Société d'assurances SA.</w:t>
      </w:r>
    </w:p>
    <w:p>
      <w:r>
        <w:t>Invité à présenter ses observations sur la plainte, M. T______ n'a pas donné suite. Il n'a pas non plus répondu à la demande de la Commission de céans de lui faire part de sa détermination en relation avec le rapport de l'Office qui lui avait été transmis.</w:t>
      </w:r>
    </w:p>
    <w:p>
      <w:r>
        <w:t>- 3 - C. Selon les données du Registre du commerce, M. Z______ est titulaire d'une entreprise individuelle dont la raison de commerce est "Y______ Société d'assurances, Agence générale de Genève, M. Z______". Le but de cette entreprise est : "Exploitation de l'agence générale de Genève de la "Y______ Société d'assurances", société anonyme à Berne".</w:t>
      </w:r>
    </w:p>
    <w:p>
      <w:r>
        <w:t>E N D R O I T 1. La Commission de céans est compétente pour statuer sur les plaintes en matière d'exécution forcée (art. 17 LP ; art 10 al. 1 LaLP ; art. 56R al. 3 LOJ).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 2.b. En l'espèce, le plaignant n'invoque pas expressément un abus de droit et conclut à l'annulation de la poursuite dont il est question. Il déclare toutefois que le poursuivant n'aurait jamais dû engager une poursuite à son encontre et que celle- ci, inscrite sur le registre de l'Office, ne lui permet d'obtenir une attestation de non-poursuite. Il allègue ainsi, implicitement, que cette poursuite porte atteinte à son crédit. La Commission de céans retient en conséquence que la présente plainte tend à la constatation de la nullité de la poursuite n° 08 xxxx58 B au motif qu'elle procède d'un abus de droit (Pauline Erard, in CR-LP, ad art. 17 n° 33 ; Pierre- Robert Gilliéron, Commentaire, ad art. 18 n° 63 et ad art. 20a n° 71 in fine) et entrera en matière (art. 22 al. 1 LP).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w:t>
      </w:r>
    </w:p>
    <w:p>
      <w:r>
        <w:t>- 4 -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3.b.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 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Commentaire, ad art. 8a n° 36, ad art. 17 n° 23, ad Remarques introductives aux art. 38-45 n° 35 ss ; Karl Wüthrich / Peter Schoch,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t>- 5 - 4. En l'occurrence, il ressort de l'instruction de la cause, en particulier des déclarations de Y______, Société d'assurance SA et des données du Registre du commerce que le plaignant est agent général de cette société pour son agence genevoise. A ce titre, ce dernier négocie la conclusion d'affaires pour sa mandante ou en conclut en son nom et pour son compte (art. 418a CO ; Dominique Dreyer, Commentaire romand - Code des obligations I ad art. 418 a n° 1).</w:t>
      </w:r>
    </w:p>
    <w:p>
      <w:r>
        <w:t>Il s'ensuit que la prétention dirigée contre le plaignant est manifestement dénuée de toutes base légale et qu'il incombait au poursuivant de procéder, le cas échéant, à l'encontre de Y______, Société d'assurance SA, ce que cette dernière admet du reste expressément en déclarant que si son refus de couvrir le sinistre était contestée, M. T______ aurait dû lui faire notifier un commandement de payer.</w:t>
      </w:r>
    </w:p>
    <w:p>
      <w:r>
        <w:t>Bien que dûment invité par la Commission de céans, le poursuivant n'a donné aucune explication quant aux raisons pour lesquelles il avait engagé une poursuite à l'encontre du plaignant. Il appert, par ailleurs, qu'il n'a pas requis la mainlevée de l'opposition ni procédé par la voie de l'action en reconnaissance de dette et que son droit de requérir la continuation de la poursuite est aujourd'hui périmé (art. 88 al. 2 LP).</w:t>
      </w:r>
    </w:p>
    <w:p>
      <w:r>
        <w:t>Sa démarche, qui porte atteinte au crédit du plaignant dans le mesure où ce dernier ne peut justifier auprès de tiers qu'il ne fait pas l'objet de poursuite, doit en conséquence être qualifiée d'abusive. 5. La plainte sera donc admise et la poursuite n° 08 xxxx58 B déclarée nulle. 6. A toutes fins utiles, la Commission de céans rappellera qu'à part les art. 149a al. 3 et 265 al. 2 LP qui prévoient une véritable radiation, limitée toutefois au registre des actes de défaut de biens que les cantons peuvent tenir (Pierre-Robert Gilliéron, Commentaire, ad art. 149a n° 29 ss ;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du 19 septembre 2006 7B.88/2006 ; ATF 115 III 24 consid. 2b).</w:t>
      </w:r>
    </w:p>
    <w:p>
      <w:r>
        <w:t>L'Office devra donc prendre toute mesure utile afin que la poursuite considérée ne soit pas portée à la connaissance de tiers. * * * * *</w:t>
      </w:r>
    </w:p>
    <w:p>
      <w:r>
        <w:t>- 6 -</w:t>
      </w:r>
    </w:p>
    <w:p>
      <w:r>
        <w:t>P A R C E S M O T I F S , L A C O M M I S S I O N D E S U R V E I L L A N C E S I É G E A N T E N S E C T I O N : A la forme : Déclare recevable la plainte formée le 10 novembre 2009 par M. Z______ contre la poursuite n° 08 xxxx58 B. Au fond : Constate la nullité de la poursuite n° 08 xxxx58 B.</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