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DCSO/396/2023 vom 21. September 2023</w:t>
      </w:r>
    </w:p>
    <w:p>
      <w:r>
        <w:t>GE Cour de justice, 2023-09-21, FR</w:t>
      </w:r>
    </w:p>
    <w:p>
      <w:r>
        <w:rPr>
          <w:b/>
        </w:rPr>
        <w:t xml:space="preserve">Quelle: </w:t>
      </w:r>
      <w:r>
        <w:t>https://mcp.opencaselaw.ch/entscheid/ge_gerichte_DCSO_396_2023</w:t>
      </w:r>
    </w:p>
    <w:p>
      <w:r>
        <w:t>FR: GE_GERICHTE DCSO/396/2023 du 21 septembre 2023</w:t>
      </w:r>
    </w:p>
    <w:p>
      <w:r>
        <w:t>IT: GE_GERICHTE DCSO/396/2023 del 21 settembre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Pour le surplus, et dans la mesure où le grief invoqué par le plaignant est susceptible d'entraîner la nullité de la poursuite, il devrait être examiné même en l'absence de plainte recevable (art. 22 al. 1 LP, deuxième phrase).</w:t>
      </w:r>
    </w:p>
    <w:p>
      <w:r>
        <w:rPr>
          <w:b/>
        </w:rPr>
        <w:t>E. 2</w:t>
      </w:r>
    </w:p>
    <w:p>
      <w:r>
        <w:t>2.1.1 Le droit suisse en matière de poursuites se caractérise par le fait que toute personne peut engager une poursuite ordinaire ou en réalisation de gage immobilier, même s'il n'est pas créancier, et que l'office des poursuites n'a pas à vérifier l'existence et l'exigibilité au jour du dépôt de la réquisition de poursuite de la créance alléguée par le poursuivant (ATF 144 III 277 consid. 3.3.4 ; ATF 102 III 1 consid. 1 b, JdT 1977 II 112 ; arrêt du Tribunal fédéral 5A_277/2015 du</w:t>
      </w:r>
    </w:p>
    <w:p>
      <w:r>
        <w:rPr>
          <w:b/>
        </w:rPr>
        <w:t>E. 2.2</w:t>
      </w:r>
    </w:p>
    <w:p>
      <w:r>
        <w:t>En l'espèce, il est vrai que les poursuivants ont introduit à ce jour cinq poursuites successives contre le plaignant pour les mêmes montants et pour les mêmes motifs, sans jamais agir en annulation des oppositions, ce qui peut apparaître comme un indice d'une volonté des intimés d'utiliser la procédure de poursuite à des fins étrangères à son but, afin de nuire à la bonne réputation du plaignant, qui exerce l'activité de notaire. Les intimés n'ont par ailleurs pas établi qu'ils auraient engagé une procédure de médiation, pourtant annoncée dans leur réponse à la plainte, ce qui est également de nature à susciter des doutes sur leurs intentions réelles.</w:t>
      </w:r>
    </w:p>
    <w:p>
      <w:r>
        <w:t>Ces indices ne sont toutefois pas suffisants pour considérer que la dernière poursuite engagée serait abusive. En effet, les montants réclamés dans les poursuites, bien qu'élevés, ne sont pas exorbitants et demeurent plausibles dans le contexte d'un litige ayant pour origine l'exécution d'un mandat de notaire dans le cadre d'une opération immobilière. De plus, les cinq poursuites ont été engagées à chaque fois à une année d'intervalle et avec l'indication expresse qu'elles étaient destinées à interrompre la prescription, ce qui est en soi admissible. Les intimés ont par ailleurs allégué avoir proposé au plaignant d'effectuer une déclaration de renonciation à se prévaloir de la prescription, afin d'éviter toute poursuite. Le plaignant ne l'a pas contesté et n'a pas pris position sur cet aspect, dans sa réplique du 15 mai 2023.</w:t>
      </w:r>
    </w:p>
    <w:p>
      <w:r>
        <w:t>Aussi, il ne peut être tenu pour établi que les intimés ont engagé la poursuite litigieuse dans un but n'ayant pas le moindre rapport avec la procédure de poursuite ou dans l'unique but de tourmenter le plaignant. Partant, les circonstances exceptionnelles permettant de conclure à l’existence d’une poursuite abusive ne sont pas établies, de sorte que la plainte doit être rejetée. 3 La procédure de plainte est gratuite (art. 20a al. 2 ch. 5 LP et art. 61 al. 2 let. a OELP) et il ne peut être alloué aucuns dépens dans cette procédure (art. 62 al. 2 OELP). * * * * *</w:t>
      </w:r>
    </w:p>
    <w:p>
      <w:r>
        <w:t>- 6/6 -</w:t>
      </w:r>
    </w:p>
    <w:p>
      <w:r>
        <w:t>A/1102/2023-CS PAR CES MOTIFS, La Chambre de surveillance :</w:t>
      </w:r>
    </w:p>
    <w:p>
      <w:r>
        <w:t>A la forme : Déclare recevable la plainte formée le 27 mars 2023 par A______ contre le commandement de payer, poursuite n° 5______. Au fond : La rejette. Siégeant : Madame Verena PEDRAZZINI RIZZI, présidente; Messieurs Luca MINOTTI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juin 2015 consid. 3.2).</w:t>
      </w:r>
    </w:p>
    <w:p>
      <w:r>
        <w:t>En principe, le poursuivant peut requérir l'introduction de plusieurs poursuites pour la même prétention, et il appartient au poursuivi de sauvegarder ses droits dans chacune d'elles. Selon le Tribunal fédéral, une seconde poursuite pour la même réclamation n'est inadmissible que si, dans une première poursuite, le</w:t>
      </w:r>
    </w:p>
    <w:p>
      <w:r>
        <w:t>- 4/6 -</w:t>
      </w:r>
    </w:p>
    <w:p>
      <w:r>
        <w:t>A/1102/2023-CS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(ATF 139 III 444, consid. 4.1.2 ; ATF 136 III 583, consid. 2.3 ; ATF 128 III 383 ; TF 5A_896/2017 du 7 février 2018 consid. 3.2).</w:t>
      </w:r>
    </w:p>
    <w:p>
      <w:r>
        <w:t>2.1.2 Chacun est tenu d’exercer ses droits et d’exécuter ses obligations selon les règles de la bonne foi (art. 2 al. 1 CC). L’abus manifeste d’un droit n’est pas protégé par la loi (art. 2 al. 2 CC). Le principe de la bonne foi s’applique aussi dans le droit de l’exécution forcée (ATF 113 III 2 consid. 2a, JdT 1989 II 120; TF 5A_563/2018 du 12 août 2019 consid. 3.5.1).</w:t>
      </w:r>
    </w:p>
    <w:p>
      <w:r>
        <w:t>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143 III 279 consid. 3.1 ; ATF 135 III 162 consid. 3.3.1 et les arrêts cités).</w:t>
      </w:r>
    </w:p>
    <w:p>
      <w:r>
        <w:t>2.1.3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298 ; arrêt du Tribunal fédéral 5A_563/2018 consid. 3.5.1 précité)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II 76). Dans ce dernier arrêt, le Tribunal fédéral a ainsi relevé que le procédé consistant à notifier quatre commandements de payer en quinze mois, fondés sur la même cause et pour une somme totale de 775’000 fr., sans jamais demander la mainlevée de l’opposition ni la reconnaissance judiciaire de la créance, pouvait constituer un abus de droit manifeste ;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(arrêt du Tribunal fédéral 7B.118/2005 du 11 août 2005 consid. 3 in fine). Selon le Tribunal fédéral, une poursuite peut également être abusive lorsqu’elle consacre une attitude contradictoire (venire contra factum proprium):</w:t>
      </w:r>
    </w:p>
    <w:p>
      <w:r>
        <w:t>- 5/6 -</w:t>
      </w:r>
    </w:p>
    <w:p>
      <w:r>
        <w:t>A/1102/2023-CS notre Haute Cour a ainsi jugé qu’une réquisition de poursuite, déposée trois jours avant des pourparlers transactionnels que le poursuivant avait lui-même initiés et qui avaient pour objet le retrait d’une précédente poursuite, était abusive (ATF 140 III 481 consid. 2.3.2 et 2.3.3, JdT 2015 II 298).</w:t>
      </w:r>
    </w:p>
    <w:p>
      <w:r>
        <w:t>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