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DCSO/38/2011 vom 3. Februar 2011</w:t>
      </w:r>
    </w:p>
    <w:p>
      <w:r>
        <w:t>GE Cour de justice, 2011-02-03, FR</w:t>
      </w:r>
    </w:p>
    <w:p>
      <w:r>
        <w:rPr>
          <w:b/>
        </w:rPr>
        <w:t xml:space="preserve">Quelle: </w:t>
      </w:r>
      <w:r>
        <w:t>https://mcp.opencaselaw.ch/entscheid/ge_gerichte_DCSO_38_2011</w:t>
      </w:r>
    </w:p>
    <w:p>
      <w:r>
        <w:t>FR: GE_GERICHTE DCSO/38/2011 du 3 février 2011</w:t>
      </w:r>
    </w:p>
    <w:p>
      <w:r>
        <w:t>IT: GE_GERICHTE DCSO/38/2011 del 3 febbraio 2011</w:t>
      </w:r>
    </w:p>
    <w:p>
      <w:pPr>
        <w:pStyle w:val="Heading2"/>
      </w:pPr>
      <w:r>
        <w:t>Regeste</w:t>
      </w:r>
    </w:p>
    <w:p>
      <w:r>
        <w:t>Résumé: La saisie ne doit pas porter uniquement sur les biens dont le débiteur est sans l'ombre d'un doute le propriétaire, mais aussi sur ceux pour lesquels il existe, sur la base d'indication du créancier ou de l'examen effectué par l'office, des indices suffisants de leur appartenance au patrimoine du poursuivi. Pour éclaircir la situation, au cas où des tiers feraient valoir des droits sur des biens objets de la procédure de poursuite, la LP a instauré la procédure de revendication, laquelle permet au tiers, titulaire du droit patrimonial mis sous main de justice, d'obtenir qu'il soit soustrait à l'exécution forcée dans la poursuite ou les poursuites en cours. Recours au Tribunal fédéral5A_124/2011/ZEH déclaré irrecevable par Arrêt du 5 avril 2011.</w:t>
      </w:r>
    </w:p>
    <w:p>
      <w:pPr>
        <w:pStyle w:val="Heading2"/>
      </w:pPr>
      <w:r>
        <w:t>Erwägungen</w:t>
      </w:r>
    </w:p>
    <w:p>
      <w:r>
        <w:rPr>
          <w:b/>
        </w:rPr>
        <w:t>E. 1</w:t>
      </w:r>
    </w:p>
    <w:p>
      <w:r>
        <w:t>Selon l'art. 61 LTF, les arrêts du Tribunal fédéral passent en force de chose jugée au jour où ils sont prononcés. Lorsqu'il admet un recours, le Tribunal fédéral peut statuer lui-même au fond ou renvoyer la cause à l'autorité précédente, voire à celle qui a statué en première instance, pour qu'elle prenne une nouvelle décision dans le sens de ses considérants (art. 107 al. 2 LTF).</w:t>
      </w:r>
    </w:p>
    <w:p>
      <w:r>
        <w:rPr>
          <w:b/>
        </w:rPr>
        <w:t>E. 2</w:t>
      </w:r>
    </w:p>
    <w:p>
      <w:r>
        <w:t>En l'espèce, Tribunal fédéral a rendu un arrêt 5A_578/2010 le 19 novembre 2010, annulant la décision DCSO/360/2010 du 4 août 2010, et renvoyé le dossier à l'Autorité de céans afin qu'elle rende une nouvelle décision dans le sens des considérants 2.3 de son arrêt.</w:t>
      </w:r>
    </w:p>
    <w:p>
      <w:r>
        <w:t>- 6/8 -</w:t>
      </w:r>
    </w:p>
    <w:p>
      <w:r>
        <w:t>A/1736/2010-AS</w:t>
      </w:r>
    </w:p>
    <w:p>
      <w:r>
        <w:rPr>
          <w:b/>
        </w:rPr>
        <w:t>E. 3</w:t>
      </w:r>
    </w:p>
    <w:p>
      <w:r>
        <w:t>Mme W______ soutient en premier lieu qu'elle est la seule propriétaire de la cédule hypothécaire au porteur de 5'000'000 fr. en second rang grevant les parcelles nos1xxx et 1xxx de la commune de G______.</w:t>
      </w:r>
    </w:p>
    <w:p>
      <w:r>
        <w:rPr>
          <w:b/>
        </w:rPr>
        <w:t>E. 3.1</w:t>
      </w:r>
    </w:p>
    <w:p>
      <w:r>
        <w:t>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w:t>
      </w:r>
    </w:p>
    <w:p>
      <w:r>
        <w:rPr>
          <w:b/>
        </w:rPr>
        <w:t>E. 3.2</w:t>
      </w:r>
    </w:p>
    <w:p>
      <w:r>
        <w:t>L’Office ne saurait se contenter de vagues indications données par le poursuivi, ni se borner à enregistrer ses déclarations.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op. cit, ad art. 91 n° 19).</w:t>
      </w:r>
    </w:p>
    <w:p>
      <w:r>
        <w:t>La saisie ne doit, en effet, pas porter uniquement sur les biens dont le débiteur est sans l'ombre d'un doute le propriétaire, mais aussi sur ceux pour lesquels il existe, sur la base d'indication du créancier ou de l'examen effectué par l'Office, des indices suffisants de leur appartenance au patrimoine du poursuivi. Ce n'est que s'il résulte des allégations du poursuivant ou si de toute évidence le droit désigné ne peut avoir pour titulaire le poursuivi, cette question ne pouvant être examinée que succinctement au terme d'une instruction sommaire limitée aux moyens de preuve immédiatement disponibles et absolument concluants, que l'Office doit refuser de le mettre sous mains de justice. Lorsque le poursuivant requiert la saisie de valeurs qui sont déposées au nom d'un tiers ou d'avoirs au nom d'un tiers, il faut comprendre qu'il prétend que ces valeurs appartiennent en réalité au poursuivi. Pour éclaircir la situation, au cas où des tiers feraient valoir des droits sur des biens objets de la procédure de poursuite, la LP a instauré la procédure de revendication, laquelle permet au tiers, titulaire du droit patrimonial mis sous main de justice, d'obtenir qu'il soit soustrait à l'exécution forcée dans la poursuite</w:t>
      </w:r>
    </w:p>
    <w:p>
      <w:r>
        <w:t>- 7/8 -</w:t>
      </w:r>
    </w:p>
    <w:p>
      <w:r>
        <w:t>A/1736/2010-AS ou les poursuites en cours (art. 106 et ss LP ; Pierre-Robert Gilliéron, op. cit. ad art. 91 n° 42 , ad art. 106 n° 12-13 et ad art. 275 n° 44 ; ATF 129 III 239, JdT 2003 II 100 et les références citées ; ATF III 106 86, JdT 1982 80 ; ATF 105 III 107, JdT 1982 II 25 consid. 4). Seule la saisie d'un bien appartenant manifestement à un tiers doit être frappée de nullité (art. 22 al. 1 LP ; SchKG II ad art. 95 n° 57).</w:t>
      </w:r>
    </w:p>
    <w:p>
      <w:r>
        <w:rPr>
          <w:b/>
        </w:rPr>
        <w:t>E. 4</w:t>
      </w:r>
    </w:p>
    <w:p>
      <w:r>
        <w:t>En l'espèce, il ressort de la documentation bancaire remise par B______ SA que la cédule hypothécaire au porteur litigieuse de 5'000'000 fr. était déposée sur un compte dépôt-titre n° P 2xxx5 dont les co-titulaires étaient le débiteur et son épouse, étant précisé que ladite documentation ne donne aucune indication sur les rapports juridiques internes et externes des co-titulaires dudit compte et que Mme W______ s'est bornée à affirmer qu'elle était seule propriétaire de ladite cédule sans apporter aucun élément corroborant sa propriété exclusive sur le titre.</w:t>
      </w:r>
    </w:p>
    <w:p>
      <w:r>
        <w:t>Pour les mêmes motifs que ceux ayant prévalu pour les autres biens ayant fait l'objet de la confirmation de saisie du 5 mai 2010, il en découle que l'Office était en droit d'exécuter la saisie de la cédule hypothécaire au porteur qui n'apparaissait pas appartenir manifestement à la seule épouse du débiteur, laquelle devra, le cas échéant, agir conformément aux art. 106 ss.</w:t>
      </w:r>
    </w:p>
    <w:p>
      <w:r>
        <w:rPr>
          <w:b/>
        </w:rPr>
        <w:t>E. 5</w:t>
      </w:r>
    </w:p>
    <w:p>
      <w:r>
        <w:t>Mme W______ soutient encore que la cédule au porteur en question serait insaisissable parce que dépourvue de toute valeur.</w:t>
      </w:r>
    </w:p>
    <w:p>
      <w:r>
        <w:t>Sous réserve des biens insaisissables au sens de l'art. 92 LP, tous les biens du débiteur sont saisissables (ATF 97 III 23 = JdT 1971 II 103). La cédule hypothécaire au porteur n'entre directement dans aucune des catégories de biens ou d'objets visés par l'art. 92 al. 1 ch. 1 à 11 LP. S'agissant de l'art. 92 al. 2 LP concernant les objets pour lesquels il y a lieu d'admettre d'emblée que le produit de leur réalisation excéderait de si peu le montant des frais, l'Office et le CREDIT SUISSE SA relèvent, avec pertinence, que ce titre - qui offre à son ou ses propriétaires une plus grande facilité d'obtenir rapidement du crédit - vaut à tout le moins le coût de sa constitution (de l'ordre de 3% de sa valeur faciale, soit 150'000 fr.) ce qui, prima facie, excède le montant des frais à engager pour sa réalisation.</w:t>
      </w:r>
    </w:p>
    <w:p>
      <w:r>
        <w:rPr>
          <w:b/>
        </w:rPr>
        <w:t>E. 6</w:t>
      </w:r>
    </w:p>
    <w:p>
      <w:r>
        <w:t>Au vu de ce qui précède, la plainte sera ainsi également rejetée en tant qu'elle porte sur la saisie de la cédule hypothécaire de 5'000'000 fr. en second rang. * * * * *</w:t>
      </w:r>
    </w:p>
    <w:p>
      <w:r>
        <w:t>- 8/8 -</w:t>
      </w:r>
    </w:p>
    <w:p>
      <w:r>
        <w:t>A/1736/2010-AS PAR CES MOTIFS, L'Autorité de surveillance :</w:t>
      </w:r>
    </w:p>
    <w:p>
      <w:r>
        <w:t>Rejette la plainte en tant qu'elle porte sur la cédule hypothécaire entièrement libre de 5'000'000 fr., grevant les parcelles nos 1xxx et 1xxx sises à G______. Déboute les parties de toutes autres conclusions.</w:t>
      </w:r>
    </w:p>
    <w:p>
      <w:r>
        <w:t>Siégeant : Monsieur Daniel DEVAUD, président ; Mesdames Florence CASTELLA et Françoise SAPIN, juges assesseures ; Madame Paulette DORMAN, greffière.</w:t>
      </w:r>
    </w:p>
    <w:p>
      <w:r>
        <w:t>Le président : Daniel DEVAUD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