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DCSO/389/2015 vom 17. Dezember 2015</w:t>
      </w:r>
    </w:p>
    <w:p>
      <w:r>
        <w:t>GE Cour de justice, 2015-12-17, FR</w:t>
      </w:r>
    </w:p>
    <w:p>
      <w:r>
        <w:rPr>
          <w:b/>
        </w:rPr>
        <w:t xml:space="preserve">Quelle: </w:t>
      </w:r>
      <w:r>
        <w:t>https://mcp.opencaselaw.ch/entscheid/ge_gerichte_DCSO_389_2015</w:t>
      </w:r>
    </w:p>
    <w:p>
      <w:r>
        <w:t>FR: GE_GERICHTE DCSO/389/2015 du 17 décembre 2015</w:t>
      </w:r>
    </w:p>
    <w:p>
      <w:r>
        <w:t>IT: GE_GERICHTE DCSO/389/2015 del 17 dicembre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w:t>
      </w:r>
    </w:p>
    <w:p>
      <w:r>
        <w:rPr>
          <w:b/>
        </w:rPr>
        <w:t>E. 1.2</w:t>
      </w:r>
    </w:p>
    <w:p>
      <w:r>
        <w:t>En l'occurrence, la plainte répond aux conditions de forme prévues par la loi en ce qu'elle respecte la forme écrite et que son contenu permet de comprendre ce à quoi conclut le plaignant et les motifs qu'il fait valoir. Ce dernier est par ailleurs touché dans ses intérêts à tout le moins de fait dès lors que la mention – par hypothèse injustifiée – de la poursuite dans le registre des poursuites pouvant être consulté par des tiers est susceptible de lui porter préjudice.</w:t>
      </w:r>
    </w:p>
    <w:p>
      <w:r>
        <w:t>Dans la mesure où il s'adresse directement à l'autorité de surveillance, sans avoir préalablement sollicité de l'Office qu'il procède à l'opération souhaitée, le plaignant soutient implicitement que l'Office était tenu d'agir de par la loi. Il fait ainsi valoir un retard à statuer, voire un déni de justice, moyen pouvant être invoqué par la voie de la plainte et en tout temps (art. 17 al. 3 LP). La plainte est donc recevable à cet égard.</w:t>
      </w:r>
    </w:p>
    <w:p>
      <w:r>
        <w:t>Dans son courrier daté du 19 septembre 2015, le plaignant dénonce un abus de droit de la part du créancier. Ce moyen, susceptible d'entraîner la nullité de la poursuite au sens de l'art. 22 al. 1 LP, est également recevable.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w:t>
      </w:r>
    </w:p>
    <w:p>
      <w:r>
        <w:t>- 4/7 -</w:t>
      </w:r>
    </w:p>
    <w:p>
      <w:r>
        <w:t>A/2503/2015-CS de justice lorsque l'Office prend une décision ou une mesure, fût-elle erronée.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Il est constant dans le cas d'espèce que le plaignant n'a saisi l'Office d'aucune requête. Seul reste dès lors à examiner si ce dernier était tenu de par la loi de procéder, une fois le délai d'une année prévu par l'art. 88 al. 2 LP écoulé, à la radiation du registre des poursuites de la poursuite litigieuse, frappée d'opposition.</w:t>
      </w:r>
    </w:p>
    <w:p>
      <w:r>
        <w:t>Comme le relève à juste titre l'Office, une telle obligation ne résulte nullement de la loi. L'art. 8a LP, qui règle le droit des tiers de consulter le registre des poursuites, prévoit que l'Office ne pourra communiquer à des tiers les poursuites nulles ainsi que celles qui ont été annulées sur plainte ou à la suite d'un jugement (art. 8 al. 3 let. a LP), les poursuites pour lesquelles le débiteur a obtenu gain de cause dans l'action en répétition de l'indu (art. 8 al. 3 let. b LP) et les poursuites retirées par le créancier (art. 8 al. 3 let. c LP). Aucune de ces dispositions ne vise le cas d'espèce.</w:t>
      </w:r>
    </w:p>
    <w:p>
      <w:r>
        <w:t>S'agissant de l'hypothèse dans laquelle la poursuite demeure au stade de l'opposition sans que le créancier ouvre action en reconnaissance de dette ou requière la mainlevée de l'opposition, il a été jugé que le débiteur s'estimant indûment poursuivi ne peut pas demander à l'Office d'impartir au créancier un délai de forclusion pour agir (ATF 128 III 334). Dans le cadre d'une poursuite ordinaire, le débiteur n'a pas en effet un intérêt suffisant pour obliger le créancier à poursuivre la procédure d'exécution forcée au-delà de son opposition; celui-ci n'est d'ailleurs pas tenu de retirer sa poursuite après en avoir reçu paiement par le débiteur et c'est à dessein que le législateur a entendu permettre que les tiers puissent avoir connaissance de l'existence de poursuites qui n'ont pas fait l'objet d'une procédure de mainlevée, sans pour autant avoir été retirées (même référence). A défaut de l'action en annulation de la poursuite de l'art. 85a LP – qui n'est ouverte que si le commandement de payer est passé en force (ATF 141 III 68 cons. 2.6.1.2) – le débiteur s'estimant indûment poursuivi et souhaitant que des tiers ne puissent prendre connaissance de la poursuite à son sens injustifiée dispose d'une action en constatation de droit négative, la jurisprudence récente lui reconnaissant à cet égard, de manière générale et sous la seule réserve des poursuites destinées à interrompre la prescription, un intérêt digne de protection au sens de l'art. 59 al. 2 let. a CPC (ATF 141 III 68 cons. 2.7).</w:t>
      </w:r>
    </w:p>
    <w:p>
      <w:r>
        <w:t>- 5/7 -</w:t>
      </w:r>
    </w:p>
    <w:p>
      <w:r>
        <w:t>A/2503/2015-CS</w:t>
      </w:r>
    </w:p>
    <w:p>
      <w:r>
        <w:t>En d'autres termes, non seulement l'Office n'était-il pas tenu de radier d'office la poursuite litigieuse du registre des poursuites – cette constatation conduisant à elle seule au rejet du grief de déni de justice ou de retard injustifié – mais encore n'était-il pas autorisé à le faire, même s'il avait été saisi d'une requête en ce sens.</w:t>
      </w:r>
    </w:p>
    <w:p>
      <w:r>
        <w:t>La plainte est donc, à cet égard, mal fondée.</w:t>
      </w:r>
    </w:p>
    <w:p>
      <w:r>
        <w:rPr>
          <w:b/>
        </w:rPr>
        <w:t>E. 3.1</w:t>
      </w:r>
    </w:p>
    <w:p>
      <w:r>
        <w:t>Sont nulles les poursuites introduites en violation du principe de l'interdiction de l'abus de droit, tel qu'il résulte de l'art. 2 al. 2 CC (ATF 140 III 481 cons. 2.3.1).</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 2b; arrêt du Tribunal fédéral 5A_250_2015 du 10 septembre 2015 cons. 4.1 et références citées).</w:t>
      </w:r>
    </w:p>
    <w:p>
      <w:r>
        <w:rPr>
          <w:b/>
        </w:rPr>
        <w:t>E. 3.2</w:t>
      </w:r>
    </w:p>
    <w:p>
      <w:r>
        <w:t>En l'occurrence, le plaignant, dans son courrier daté du 19 septembre 2015, a invoqué l'existence d'un abus de droit de la part du créancier et a annoncé son intention d'en apporter "la preuve irréfutable" dans un délai de dix jours. Il n'a toutefois produit aucun document en annexe à la lettre – erronément datée du</w:t>
      </w:r>
    </w:p>
    <w:p>
      <w:r>
        <w:rPr>
          <w:b/>
        </w:rPr>
        <w:t>E. 5</w:t>
      </w:r>
    </w:p>
    <w:p>
      <w:r>
        <w:t>septembre 2015 – qu'il a adressée le 8 octobre 2015 à la Chambre de surveillance, se bornant à y indiquer n'avoir jamais eu la moindre relation avec la créancière poursuivante, qu'il ne connaissait pas.</w:t>
      </w:r>
    </w:p>
    <w:p>
      <w:r>
        <w:t>A supposer qu'elles soient exactes – ce qu'il n'est pas nécessaire de déterminer – ces allégations ne suffisent aucunement à fonder l'existence d'un abus de droit. Elles concernent en effet l'existence de la créance, alors que celle-ci n'est, au sens</w:t>
      </w:r>
    </w:p>
    <w:p>
      <w:r>
        <w:t>- 6/7 -</w:t>
      </w:r>
    </w:p>
    <w:p>
      <w:r>
        <w:t>A/2503/2015-CS de la jurisprudence citée, pas une condition de l'introduction de la poursuite. Au vu des éléments du dossier, rien ne permet de douter que l'objectif poursuivi par la créancière poursuivante lors du dépôt de la réquisition de poursuite était le recouvrement de la créance en poursuite qu'elle estimait, à tort ou à raison, lui être due. Peu importe à cet égard que, pour des raisons qui lui sont propres, elle semble avoir renoncé à ouvrir action en reconnaissance de dette ou à requérir la mainlevée de l'opposition : aucune conclusion ne peut en effet être tirée de cette manière de procéder, pour autant qu'elle ne se répète pas de manière systématique.</w:t>
      </w:r>
    </w:p>
    <w:p>
      <w:r>
        <w:t>Le second grief invoqué par le plaignant est ainsi lui aussi mal fondé, avec pour conséquence que la plainte doit être rejetée. 4. La procédure de plainte est gratuite (art. 20a al. 2 ch. 5 LP et art. 61 al. 2 let. a OELP) et il ne peut être alloué aucuns dépens dans cette procédure (art. 62 al. 2 OELP). * * * * *</w:t>
      </w:r>
    </w:p>
    <w:p>
      <w:r>
        <w:t>- 7/7 -</w:t>
      </w:r>
    </w:p>
    <w:p>
      <w:r>
        <w:t>A/2503/2015-CS PAR CES MOTIFS, La Chambre de surveillance : A la forme : Déclare recevable la plainte formée le 18 juillet 2015 par M. P______ contre l'absence de radiation du registre des poursuites de la poursuite n° 14 xxxx46 R. Au fond : La rejette. Siégeant : Monsieur Patrick CHENAUX, président; Monsieur Philipp GANZONI et Monsieur Denis KELLER, juges assesseurs; Madame Angela FERRECCHIA PICCOLI, greffière.</w:t>
      </w:r>
    </w:p>
    <w:p>
      <w:r>
        <w:t>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