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DCSO/389/2011 vom 27. Oktober 2011</w:t>
      </w:r>
    </w:p>
    <w:p>
      <w:r>
        <w:t>GE Cour de justice, 2011-10-27, FR</w:t>
      </w:r>
    </w:p>
    <w:p>
      <w:r>
        <w:rPr>
          <w:b/>
        </w:rPr>
        <w:t xml:space="preserve">Quelle: </w:t>
      </w:r>
      <w:r>
        <w:t>https://mcp.opencaselaw.ch/entscheid/ge_gerichte_DCSO_389_2011</w:t>
      </w:r>
    </w:p>
    <w:p>
      <w:r>
        <w:t>FR: GE_GERICHTE DCSO/389/2011 du 27 octobre 2011</w:t>
      </w:r>
    </w:p>
    <w:p>
      <w:r>
        <w:t>IT: GE_GERICHTE DCSO/389/2011 del 27 ottobre 2011</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t>L'avis de saisie constitue une mesure sujette à plainte et la plaignante, en tant que débitrice, a qualité pour agir par cette voie.</w:t>
      </w:r>
    </w:p>
    <w:p>
      <w:r>
        <w:t>La plainte doit être déposée dans les dix jours de celui où le plaignant a eu connaissance de la mesure (art. 17 al. 2 LP).</w:t>
      </w:r>
    </w:p>
    <w:p>
      <w:r>
        <w:t>En l'espèce, la plaignante a déposé plainte le 25 mai 2011 contre la distribution par l'Office des avoirs saisis auprès de la Banque Z______ le 26 novembre 2010. La plainte est donc tardive</w:t>
      </w:r>
    </w:p>
    <w:p>
      <w:r>
        <w:rPr>
          <w:b/>
        </w:rPr>
        <w:t>E. 2</w:t>
      </w:r>
    </w:p>
    <w:p>
      <w:r>
        <w:t>Une distribution en faveur des créanciers saisissant et la restitution du solde à la plaignante entrée en force peut-elle être remise en cause plus de cinq mois après ladite distribution et plus de six mois après l'envoi du procès-verbal de saisie ?</w:t>
      </w:r>
    </w:p>
    <w:p>
      <w:r>
        <w:rPr>
          <w:b/>
        </w:rPr>
        <w:t>E. 2.1</w:t>
      </w:r>
    </w:p>
    <w:p>
      <w:r>
        <w:t>Les chambres de surveillance sont habilitées, lorsqu’elles se trouvent en présence d’une mesure nulle – à savoir d’une mesure contraire à des dispositions</w:t>
      </w:r>
    </w:p>
    <w:p>
      <w:r>
        <w:t>- 4/6 -</w:t>
      </w:r>
    </w:p>
    <w:p>
      <w:r>
        <w:t>A/1551/2011-AS édictées dans l’intérêt public ou dans l’intérêt de personnes qui ne sont pas parties à la procédure – à constater cette nullité et à révoquer la mesure en question indépendamment de toute plainte, c’est-à-dire même si la plainte n’est pas formée dans le délai de l’art. 17 al. 2 LP ou est déposée par une personne qui n’a pas qualité à cet effet (art. 22 al. 1 LP ; ATF non publié 7B.18/2002 du 13 février 2002 consid. 1 citant Pierre-Robert Gilliéron, Commentaire, ad art. 22 n° 34). En l’espèce, la plaignante invoque une violation de l’art. 92 al. 1 ch. 9a LP. Selon la jurisprudence constante, le revenu d’un débiteur qui touche, comme en l'espèce, une rente insaisissable au sens de l'art. 92 al. 1 ch. 9a LP est, en effet, saisissable dans la mesure où ce revenu excède la part du minimum vital qui n’est pas couvert par la rente. Or, en dehors des cas de l’art. 92 ch. 6 et 11 où l’insaisissabilité est prescrite dans un intérêt public (Michel Ochsner, in CR-LP, ad art. 92 n° 15), la nullité de la mise sous main de justice d’un droit patrimonial insaisissable en vertu de l’art. 92 LP ne peut être constatée en tout temps, c’est-à-dire nonobstant la tardiveté de la plainte, que si la mise sous main de justice met le poursuivi ou ses proches dans une situation insupportable, absolument intolérable, par exemple en les empêchant d’exercer leur profession ou de trouver du travail, ou attentatoire à leur dignité (Pierre-Robert Gilliéron, Commentaire, ad art. 92 n° 239). Au vu de des griefs invoqués, qui, s’ils étaient admis, entraîneraient la nullité de la mesure attaquée, il y a lieu d’entrer en matière sur la plainte, nonobstant sa tardiveté.</w:t>
      </w:r>
    </w:p>
    <w:p>
      <w:r>
        <w:rPr>
          <w:b/>
        </w:rPr>
        <w:t>E. 2.2</w:t>
      </w:r>
    </w:p>
    <w:p>
      <w:r>
        <w:t>Conformément à l'art. 91 al. 1 LP, le débiteur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L'office, qui est en charge de l'exécution de la saisie (art. 89 LP), doit déterminer d'office les faits pertinents pour son exécution (cf. not. ATF 108 III 10 = JdT 1984 II 18 et les références citées). Même si le débiteur a l'obligation de renseigner l'office, celui-ci doit adopter un comportement actif et une position critique, de sorte qu'il ne peut s'en remettre, sans les vérifier, aux seules déclarations du débiteur quant à ses biens et revenus. Il lui appartient ainsi non seulement d'interroger le débiteur sur l'ensemble de son patrimoine, en exigeant la production des justificatifs des revenus et charges allégués, mais également de se rendre au domicile de l'intéressé, voire dans les autres locaux dont il peut disposer, aux fins d'y constater l'existence d'éventuels biens saisissables (SJ 2000 II, p. 212). A teneur de l'art. 93 LP, tous les revenus du travail, les usufruits et leurs produits,</w:t>
      </w:r>
    </w:p>
    <w:p>
      <w:r>
        <w:t>- 5/6 -</w:t>
      </w:r>
    </w:p>
    <w:p>
      <w:r>
        <w:t>A/1551/2011-AS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Sont en particulier insaisissables, conformément à l'art. 92 ch. 9a LP, les rentes au sens de l'art. 20 LAVS et de l'art. 50 LAI. En vertu de cette disposition, il en va de même des prestations complémentaires fédérales et cantonales versées aux personnes âgées ou invalides (SJ 2000 II, p. 218). Cela étant, pour fixer le montant saisissable, l'office des poursuites doit tenir compte de toutes les ressources du débiteur, y compris celles qui sont insaisissables en vertu de l'art. 92 LP; ainsi, le revenu d'un débiteur qui touche une rente insaisissable peut être saisi dans la mesure où ce revenu excède la part du minimum vital qui n'est pas couverte par la rente; il faut en effet tenir compte de ce que le débiteur peut subvenir à une partie de son entretien au moyen de la rente insaisissable, si bien que pour couvrir la part restante du minimum vital, il n'a le cas échéant plus besoin de ses autres revenus; l'insaisissabilité d'une rente a donc simplement pour conséquence que la rente elle-même ne peut être saisie et non pas que le débiteur peut, outre cette rente, revendiquer encore une partie du reste de son revenu correspondant à son minimum vital (ATF 104 III 38, consid. 1 p. 40 = JdT 1980 II 17s.).</w:t>
      </w:r>
    </w:p>
    <w:p>
      <w:r>
        <w:rPr>
          <w:b/>
        </w:rPr>
        <w:t>E. 3</w:t>
      </w:r>
    </w:p>
    <w:p>
      <w:r>
        <w:t>En l'espèce, la saisie effectuée par l'Office a été effectuée, conformément à l'art. 99 LP, sur la créance que la plaignante avait envers la Banque Z______ sur son compte épargne n° 1016 xxxx xxxx 7, compte crédité mensuellement sur instruction de celle-là. La saisie exécutée par l'Office n'a donc ainsi pas porté sur les rentes insaisissables de la plaignante au sens de l'art. 92 LP.</w:t>
      </w:r>
    </w:p>
    <w:p>
      <w:r>
        <w:t>Au vu de ces constatations, mal fondée la plainte sera rejetée. * * * * *</w:t>
      </w:r>
    </w:p>
    <w:p>
      <w:r>
        <w:t>- 6/6 -</w:t>
      </w:r>
    </w:p>
    <w:p>
      <w:r>
        <w:t>A/1551/2011-AS</w:t>
      </w:r>
    </w:p>
    <w:p>
      <w:r>
        <w:t>PAR CES MOTIFS, La Chambre de surveillance : A la forme :</w:t>
      </w:r>
    </w:p>
    <w:p>
      <w:r>
        <w:t>Rejette, dans la mesure de sa recevabilité et de son objet, la plainte formée le 25 mai 2011 par Mme L______ dans le cadre de la poursuite n° 09 xxxx44 X.</w:t>
      </w:r>
    </w:p>
    <w:p>
      <w:r>
        <w:t>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