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DCSO/388/2015 vom 17. Dezember 2015</w:t>
      </w:r>
    </w:p>
    <w:p>
      <w:r>
        <w:t>GE Cour de justice, 2015-12-17, FR</w:t>
      </w:r>
    </w:p>
    <w:p>
      <w:r>
        <w:rPr>
          <w:b/>
        </w:rPr>
        <w:t xml:space="preserve">Quelle: </w:t>
      </w:r>
      <w:r>
        <w:t>https://mcp.opencaselaw.ch/entscheid/ge_gerichte_DCSO_388_2015</w:t>
      </w:r>
    </w:p>
    <w:p>
      <w:r>
        <w:t>FR: GE_GERICHTE DCSO/388/2015 du 17 décembre 2015</w:t>
      </w:r>
    </w:p>
    <w:p>
      <w:r>
        <w:t>IT: GE_GERICHTE DCSO/388/2015 del 17 dicembre 2015</w:t>
      </w:r>
    </w:p>
    <w:p>
      <w:pPr>
        <w:pStyle w:val="Heading2"/>
      </w:pPr>
      <w:r>
        <w:t>Regeste</w:t>
      </w:r>
    </w:p>
    <w:p>
      <w:r>
        <w:t>Résumé: Prise en considération de frais de véhicule privé. Concubins sans enfants communs (mode de calcul).</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NI-2015;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qui doit lui permettre de couvrir ses dépenses élémentaires, parmi lesquelles la nourriture, les frais de vêtement et de linge, y compris leur entretien, les soins corporels et de santé, l'entretien du logement, les frais culturels, les frais d'éclairage, et les frais de courant électrique ou de gaz pour la cuisine (OCHSNER, op. cit., p. 128). Le montant de la base mensuelle d'entretien</w:t>
      </w:r>
    </w:p>
    <w:p>
      <w:r>
        <w:t>- 5/7 -</w:t>
      </w:r>
    </w:p>
    <w:p>
      <w:r>
        <w:t>A/3481/2015-CS admise ne dépend pas du train de vie du débiteur mais de sa situation familiale. Selon l'art. I NI-2015, le montant de base mensuel s'élève ainsi, dans le canton de Genève, à 1'200 fr. pour un débiteur vivant seul et à 1'700 fr. pour un couple marié, deux personnes vivant en partenariat enregistré ou un couple avec des enfants.</w:t>
      </w:r>
    </w:p>
    <w:p>
      <w:r>
        <w:t>En matière de concubinage, la jurisprudence distingue plusieurs situations selon que les concubins ont ou non des enfants communs et disposent ou non d'un revenu. Lorsqu'il n'y a pas d'enfant commun et que chacun des partenaires dispose d'un revenu, il y a lieu de partir pour la détermination du montant de base mensuel du montant admis pour un couple marié et de le diviser par deux : en effet, les avantages économiques liés à la situation de deux personnes vivant en communauté domestique stable sont similaires à ceux dont jouit un couple marié (ATF 130 III 765 cons. 2.4). Dans la mesure toutefois où, contrairement aux couples mariés, les concubins n'assument en principe aucune obligation d'entretien à l'égard de leur partenaire, le montant retenu dans le cadre de la poursuite contre l'un des concubins ne saurait être inférieur à la moitié de l'entretien pour un couple marié : admettre le contraire reviendrait en effet à contraindre le concubin non poursuivi à contribuer pour plus de la moitié aux charges nécessaires du ménage et ainsi à autoriser les créanciers à se satisfaire sur un patrimoine autre que celui de leur débiteur (ATF 130 III 765 cons. 2.4; 128 III 159 cons. 3b). Il n'y donc pas lieu de procéder à un partage du montant total de l'entretien de base entre les partenaires en proportion de leurs revenus respectifs, comme cela est le cas pour les couples mariés (ATF 128 III 159 cons. 3b). Dans le cadre de ces limites, la prise en compte par l'Office, en vertu de son pouvoir d'appréciation, de circonstances concrètes particulières n'est pas exclue (ATF 130 III 765 cons. 2.4).</w:t>
      </w:r>
    </w:p>
    <w:p>
      <w:r>
        <w:t>D'autres charges indispensables, comme les frais de logement (art. II.1 et II.3 NI- 2015) ou les primes d'assurance-maladie obligatoire (art. II.3 NI-2015), doivent être ajoutés au montant de l'entretien de base, pour autant qu'elles soient effectivement payées (OCHSNER, in CR-LP, n° 82 ad art. 93 LP).Selon l'art. II.4 let. d NI-2015, doivent notamment être prises en compte les dépenses indispensables à l'exercice d'une profession, dans la mesure où l'employeur ne les prend pas à sa charge. Au nombre de ces dépenses figurent les coûts fixes et variables relatifs à l'utilisation d'un véhicule automobile dans la mesure où celui-ci revêt la qualité d'objet de stricte nécessité. Pour déterminer si tel est le cas, l'Office doit apprécier l'ensemble des circonstances, au nombre desquels l'éloignement et la fréquence des transports publics, la nécessité éventuelle de disposer du véhicule privé pendant le travail, la perte de temps générée par l'utilisation des transports publics au détriment de la prise en charge d'un enfant en bas âge (ATF 110 III 17 cons. 2), etc.</w:t>
      </w:r>
    </w:p>
    <w:p>
      <w:r>
        <w:t>- 6/7 -</w:t>
      </w:r>
    </w:p>
    <w:p>
      <w:r>
        <w:t>A/3481/2015-CS</w:t>
      </w:r>
    </w:p>
    <w:p>
      <w:r>
        <w:rPr>
          <w:b/>
        </w:rPr>
        <w:t>E. 2.2</w:t>
      </w:r>
    </w:p>
    <w:p>
      <w:r>
        <w:t>Dans le cas d'espèce, l'Office a retenu un montant de 850 fr. au titre de base d'entretien pour la plaignante. Cette somme représente la moitié de l'entretien de base pour un couple et, à ce titre, est conforme à la jurisprudence rappelée ci- dessus. La plaignante ne le conteste pas mais reproche à l'Office de ne pas avoir tenu compte de circonstances particulières consistant dans le fait que son concubin faisait lui-même l'objet de poursuites et disposait d'un faible revenu, inférieur au sien.</w:t>
      </w:r>
    </w:p>
    <w:p>
      <w:r>
        <w:t>Cette critique tombe à faux, à un double titre.</w:t>
      </w:r>
    </w:p>
    <w:p>
      <w:r>
        <w:t>En premier lieu, il résulte du décompte de salaire produit par la plaignante que son concubin dispose d'un revenu de l'ordre de 2'775 fr. net par mois. Or un tel revenu paraît a priori suffisant pour couvrir son minimum vital qui, toutes choses étant par ailleurs égales, ne devrait pas fondamentalement différer de celui de la plaignante. Le fait qu'il fasse l'objet de saisies de revenu ne modifie en rien cette appréciation : dans le cadre de ces saisies, en effet, l'Office est tenu selon les jurisprudences citées de laisser au débiteur, au titre de l'entretien de base, un montant s'élevant au minimum à la moitié de l'entretien de base pour un couple marié, soit 850 fr. par mois, ce qui doit permettre au concubin de la plaignante de couvrir la moitié des charges du ménage commun.</w:t>
      </w:r>
    </w:p>
    <w:p>
      <w:r>
        <w:t>En second lieu, la plaignante se borne à alléguer abstraitement que son concubin, en raison de ses revenus moindres, contribuerait dans une moindre mesure aux charges communes. Or, comme cela a été rappelé ci-dessus, la jurisprudence (ATF 128 III 159 cons. 3b) prohibe, dans le cas de concubins sans enfants communs, une répartition abstraite des charges proportionnellement aux revenus des partenaires. Il aurait dès lors incombé à la plaignante, si elle avait entendu faire valoir des circonstances particulières, d'alléguer concrètement en quoi sa participation excédait celle par moitié admise par la jurisprudence, ce qu'elle n'a pas fait.</w:t>
      </w:r>
    </w:p>
    <w:p>
      <w:r>
        <w:t>Le premier grief est ainsi mal fondé.</w:t>
      </w:r>
    </w:p>
    <w:p>
      <w:r>
        <w:rPr>
          <w:b/>
        </w:rPr>
        <w:t>E. 2.3</w:t>
      </w:r>
    </w:p>
    <w:p>
      <w:r>
        <w:t>S'agissant du second grief soulevé par la plaignante, il doit également être rejeté. Il est en effet notoire que la ville de X______ peut être aisément atteinte par les transports publics et la plaignante, actuellement en recherche d'emploi, n'indique pas en quoi l'éventuelle perte de temps liée à un tel mode de déplacement ne serait pas supportable, qui plus est à intervalles mensuels.</w:t>
      </w:r>
    </w:p>
    <w:p>
      <w:r>
        <w:t>Entièrement mal fondée, la plainte doit ainsi être rejetée.</w:t>
      </w:r>
    </w:p>
    <w:p>
      <w:r>
        <w:rPr>
          <w:b/>
        </w:rPr>
        <w:t>E. 3</w:t>
      </w:r>
    </w:p>
    <w:p>
      <w:r>
        <w:t>La procédure de plainte est gratuite (art. 20a al. 2 ch. 5 LP et art. 61 al. 2 let. a OELP) et il ne peut être alloué aucuns dépens dans cette procédure (art. 62 al. 2 OELP).</w:t>
      </w:r>
    </w:p>
    <w:p>
      <w:r>
        <w:t>- 7/7 -</w:t>
      </w:r>
    </w:p>
    <w:p>
      <w:r>
        <w:t>A/3481/2015-CS PAR CES MOTIFS, La Chambre de surveillance : A la forme : Déclare recevable la plainte formée le 5 octobre 2015 par Mme V______ contre le procès-verbal de saisie, série n° 14 xxxx68 S. Au fond : La rejette. Siégeant : Monsieur Patrick CHENAUX, président; Monsieur Philipp GANZONI et Monsieur Denis KELLER, juges assesseurs;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