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DCSO/385/2011 vom 27. Oktober 2011</w:t>
      </w:r>
    </w:p>
    <w:p>
      <w:r>
        <w:t>GE Cour de justice, 2011-10-27, FR</w:t>
      </w:r>
    </w:p>
    <w:p>
      <w:r>
        <w:rPr>
          <w:b/>
        </w:rPr>
        <w:t xml:space="preserve">Quelle: </w:t>
      </w:r>
      <w:r>
        <w:t>https://mcp.opencaselaw.ch/entscheid/ge_gerichte_DCSO_385_2011</w:t>
      </w:r>
    </w:p>
    <w:p>
      <w:r>
        <w:t>FR: GE_GERICHTE DCSO/385/2011 du 27 octobre 2011</w:t>
      </w:r>
    </w:p>
    <w:p>
      <w:r>
        <w:t>IT: GE_GERICHTE DCSO/385/2011 del 27 ottobre 2011</w:t>
      </w:r>
    </w:p>
    <w:p>
      <w:pPr>
        <w:pStyle w:val="Heading2"/>
      </w:pPr>
      <w:r>
        <w:t>Regeste</w:t>
      </w:r>
    </w:p>
    <w:p>
      <w:r>
        <w:t>Résumé: Le plaignant est inscrit en qualité de chef d'une raison individuelle.</w:t>
      </w:r>
    </w:p>
    <w:p>
      <w:pPr>
        <w:pStyle w:val="Heading2"/>
      </w:pPr>
      <w:r>
        <w:t>Erwägungen</w:t>
      </w:r>
    </w:p>
    <w:p>
      <w:r>
        <w:rPr>
          <w:b/>
        </w:rPr>
        <w:t>E. 1</w:t>
      </w:r>
    </w:p>
    <w:p>
      <w:r>
        <w:t>La présente plainte a été formée en temps utile auprès de la Chambre compétente par une personne ayant qualité pour agir par cette voie (art. 17 LP; art. 125 et 126 LOJ ; art. 6 al. 1 et 3 et 7 al. 1 LaLP). Pour que sa plainte soit recevable, il faut cependant que le grief émis à l’encontre de la mesure contestée soit du ressort de la chambre de surveillance, et non du juge (art. 17 al. 1 LP). Ni l’Office ni la Chambre de céans ne sont compétents pour statuer sur l’existence ou le montant de la créance faisant l’objet d’une poursuite, sous réserve d’un abus de droit manifeste (ATF 115 III 21 = SJ 1989 p. 400 consid. 3b; ATF 113 III 2 = JdT 1989 II 120/121 consid. 2b; ATF 112 III 48 = JdT 1988 II 145 s). Or, en l’espèce, le plaignant conteste d'abord l’existence même de la créance faisant l’objet de la poursuite considérée. Sa contestation ne relève donc pas de la Chambre de céans qui relèvera en outre qu'il n'a pas fait opposition au commandement de payer n° 10 114486 T. Pour le surplus, le plaignant n'invoque pas, in casu, la présence d'un abus de droit. La plainte est donc irrecevable en tant qu'elle porte sur l'existence de la créance. Elle est en revanche recevable en tant qu'elle porte sur la continuation de la poursuite par voie de faillite au sens de l'art. 39 LP.</w:t>
      </w:r>
    </w:p>
    <w:p>
      <w:r>
        <w:rPr>
          <w:b/>
        </w:rPr>
        <w:t>E. 2</w:t>
      </w:r>
    </w:p>
    <w:p>
      <w:r>
        <w:t>Déboute les parties de toutes autres ou contraires conclusions.</w:t>
      </w:r>
    </w:p>
    <w:p>
      <w:r>
        <w:t>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