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DCSO/381/2015 vom 17. Dezember 2015</w:t>
      </w:r>
    </w:p>
    <w:p>
      <w:r>
        <w:t>GE Cour de justice, 2015-12-17, FR</w:t>
      </w:r>
    </w:p>
    <w:p>
      <w:r>
        <w:rPr>
          <w:b/>
        </w:rPr>
        <w:t xml:space="preserve">Quelle: </w:t>
      </w:r>
      <w:r>
        <w:t>https://mcp.opencaselaw.ch/entscheid/ge_gerichte_DCSO_381_2015</w:t>
      </w:r>
    </w:p>
    <w:p>
      <w:r>
        <w:t>FR: GE_GERICHTE DCSO/381/2015 du 17 décembre 2015</w:t>
      </w:r>
    </w:p>
    <w:p>
      <w:r>
        <w:t>IT: GE_GERICHTE DCSO/381/2015 del 17 dicembre 2015</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En l'espèce, la décision de l'Office constatant la révocation du sursis et annonçant l'enlèvement des biens saisis a été notifiée au plaignant le 24 août 2015. Formée le</w:t>
      </w:r>
    </w:p>
    <w:p>
      <w:r>
        <w:rPr>
          <w:b/>
        </w:rPr>
        <w:t>E. 2</w:t>
      </w:r>
    </w:p>
    <w:p>
      <w:r>
        <w:t>septembre 2015, la plainte est en l'espèce recevable en tant qu'elle vise cette décision. Il en va de même de la plainte expédiée le 6 novembre 2015 dirigée contre les avis de réception de réquisitions de vente des 1er et 5 octobre 2015, reçus le 27 octobre 2015. Les deux plaintes se rapportant à la même question, à savoir celle de la saisissabilité des biens que l'Office s'apprête à enlever, respectivement à vendre, il convient de les joindre (art. 70 al. 1 LPA).</w:t>
      </w:r>
    </w:p>
    <w:p>
      <w:r>
        <w:t>- 7/13 -</w:t>
      </w:r>
    </w:p>
    <w:p>
      <w:r>
        <w:t>A/2959/2015-CS</w:t>
      </w:r>
    </w:p>
    <w:p>
      <w:r>
        <w:rPr>
          <w:b/>
        </w:rPr>
        <w:t>E. 2.1</w:t>
      </w:r>
    </w:p>
    <w:p>
      <w:r>
        <w:t>Les autorités de surveillance constatent la nullité indépendamment de toute plainte (art. 22 al. 1 in fine LP).</w:t>
      </w:r>
    </w:p>
    <w:p>
      <w:r>
        <w:rPr>
          <w:b/>
        </w:rPr>
        <w:t>E. 2.1.1</w:t>
      </w:r>
    </w:p>
    <w:p>
      <w:r>
        <w:t>La nullité d'une mesure de l'Office des poursuites doit être constatée en tout temps, alors même que le délai de plainte est dépassé (ATF 117 III 39). Sont nulles, au sens de l'art. 22 al. 1 LP, les mesures contraires à des dispositions édictées dans l'intérêt public ou dans l'intérêt de personnes qui ne sont pas parties à la procédure. Tel est le cas, en particulier, d'une saisie portant atteinte de manière manifeste au minimum vital du débiteur, pour autant que ce dernier ait satisfait à son obligation de collaborer (DIETH/WOHL, in Kurzkommentar SchKG, 2ème éd., 2014, HUNKELER [éd.], n. 2b ad art. 22 LP). Si le débiteur considère qu'un bien insaisissable au sens de l'art. 92 al. 1 LP a été saisi à tort, il doit le faire valoir par la voie de la plainte dans les dix jours suivant l'exécution de la saisie, respectivement la réception du procès-verbal de saisie. Il ne peut à cet égard attendre le dépôt d'une réquisition de vente (arrêt du Tribunal fédéral 5A_40/2008 du 31 mars 2008 consid. 3). S'il omet de former une plainte, il faut admettre une renonciation de sa part à invoquer l'insaisissabilité (ATF 97 III 7 consid. 2; KREN KOSTKIEWICZ, Kurzkommentar SchKG, 2ème éd., 2014, HUNKELER [éd.], n° 13 ad art. 92 LP). Ce n'est dès lors que si la saisie porte une atteinte flagrante au minimum vital du débiteur, au point qu'il soit placé dans une situation intolérable, qu'il y aura lieu d'entrer en matière et, le cas échéant, de constater la nullité de la saisie (ATF 111 III 13 consid. 7; 110 III 30 consid. 2; arrêt du Tribunal fédéral 7B.30/2005 du 18 avril 2005 consid. 3.2).</w:t>
      </w:r>
    </w:p>
    <w:p>
      <w:r>
        <w:rPr>
          <w:b/>
        </w:rPr>
        <w:t>E. 2.1.2</w:t>
      </w:r>
    </w:p>
    <w:p>
      <w:r>
        <w:t>En vertu de l'art. 92 al. 1 ch. 3, sont insaisissables les outils, appareils, instruments et livres, en tant qu'ils sont nécessaires au débiteur et à sa famille pour l'exercice de leur profession. Alors que les biens susvisés sont insaisissables lorsqu'ils sont nécessaires à l'exercice d'une profession, l'exploitation d'une entreprise n'est pas protégée par la disposition susvisée (ATF 95 III 81, JdT 1971 II 39; OCHSNER, in Poursuite et faillite, Commentaire romand, DALLEVES et al. [éd.], Bâle 2005, ad art. 92 LP n. 89). Pour définir la notion de profession, la jurisprudence met l'accent sur le travail personnel et les connaissances professionnelles, même si ces dernières n'ont pas été forcément acquises au cours d'une longue formation. A l'inverse, la notion d'entreprise implique que l'exploitation d'un capital investi sous la forme de machines, de matériel, de main d'œuvre, etc. est prépondérante par rapport à l'apport personnel du débiteur (OCHSNER, op. cit., ad art. 92 LP n. 91 et 93).</w:t>
      </w:r>
    </w:p>
    <w:p>
      <w:r>
        <w:rPr>
          <w:b/>
        </w:rPr>
        <w:t>E. 2.2</w:t>
      </w:r>
    </w:p>
    <w:p>
      <w:r>
        <w:t>En l'espèce, le plaignant sollicite en premier lieu l'annulation des saisies opérées les 12 novembre 2013, 10 juin 2014 et 3 juin 2015, au motif qu'elles</w:t>
      </w:r>
    </w:p>
    <w:p>
      <w:r>
        <w:t>- 8/13 -</w:t>
      </w:r>
    </w:p>
    <w:p>
      <w:r>
        <w:t>A/2959/2015-CS</w:t>
      </w:r>
    </w:p>
    <w:p>
      <w:r>
        <w:t>violeraient l'art. 92 al. 1 LP. Le délai de plainte contre ces mesures de saisie étant échu, il convient d'examiner si celles-ci sont frappées de nullité, ce qui peut être constaté d'office et en tout temps, conformément aux principes rappelés ci-dessus. A cet égard, le plaignant n'expose pas en quoi la saisie des biens litigieux le placerait dans une situation intolérable, au sens des considérants ci-dessus. Il soutient uniquement que la disposition desdits biens lui serait nécessaire afin de réaliser les gains lui permettant de rembourser ses créanciers, sans indiquer que son minimum vital serait atteint. Il apparaît ainsi que les biens saisis, qui représentent un capital investi sous forme de machines et dont la mise en œuvre implique le recours à du personnel, ne sont pas indispensables à l'exercice de la profession même du plaignant, mais participent à l'exploitation d'une entreprise, ce que celui-ci indique lui-même. A ce titre, ces biens restent saisissables au regard de l'art. 92 al. 1 ch. 3 LP, indépendamment de la rentabilité de l'entreprise. Les saisies litigieuses ne sont donc pas nulles. Il est vrai que dans une première plainte, déposée le 23 avril 2015, le plaignant avait déjà invoqué la nullité des saisies litigieuses, au motif que celles-ci seraient contraires à l'art. 92 al. 1 LP, avant de retirer cette plainte en raison de l'accord trouvé avec l'Office. Comme les présentes plaintes, cette première plainte n'intervenait toutefois pas dans un délai de dix jours dès l'exécution des saisies opérées les 12 novembre 2013 et 10 juin 2014, respectivement dans les dix jours suivant la réception des procès-verbaux de saisie. Le plaignant n'y exposait pas davantage que lesdites saisies le plaçaient dans une situation intolérable. En conséquence, cette première plainte était déjà tardive en tant qu'elle portait sur la validité des saisies opérées dix et seize mois plus tôt. En omettant de déposer plainte dans les dix jours suivant l'exécution desdites saisies, le plaignant a renoncé à se prévaloir de l'éventuelle insaisissabilité des biens concernés, conformément aux principes rappelés ci-dessus. Il en va de même de la plainte formée le 6 novembre 2015, dans laquelle le plaignant sollicite l'annulation du procès-verbal de saisie du 3 juin 2015, qu'il n'a cependant pas contesté dans les dix jours dès réception. Il s'ensuit que les plaintes sont irrecevables en tant qu'elles tendent à l'annulation des saisies opérées les 12 novembre 2013, 10 juin 2014 et 3 juin 2015.</w:t>
      </w:r>
    </w:p>
    <w:p>
      <w:r>
        <w:rPr>
          <w:b/>
        </w:rPr>
        <w:t>E. 2.3</w:t>
      </w:r>
    </w:p>
    <w:p>
      <w:r>
        <w:t>La Chambre de céans relève par ailleurs qu'il apparaît que l'exploitation de l'entreprise du plaignant ne répond plus aux critères de rentabilité. En effet, le plaignant ne parvient pas ou que partiellement à s'acquitter de ses dettes résultant de créances de droit public, telles que celles de l'administration fiscale et de la caisse de compensation, et de diverses assurances, comme le démontrent les nouvelles poursuites intentées à son encontre en 2015. D'autres créanciers également - manifestement partenaires commerciaux du plaignant au vu de leur raison sociale - ont recouru à l'exécution forcée pour le paiement de leurs</w:t>
      </w:r>
    </w:p>
    <w:p>
      <w:r>
        <w:t>- 9/13 -</w:t>
      </w:r>
    </w:p>
    <w:p>
      <w:r>
        <w:t>A/2959/2015-CS</w:t>
      </w:r>
    </w:p>
    <w:p>
      <w:r>
        <w:t>créances. Le nombre des nouvelles poursuites en 2015 – portant tant sur des montants modiques (p.ex. 82 fr. 85 P______ AG, 304 fr. 90 T______ AG ou 409 fr. 85 Z______ ASSURANCES) que sur des montants importants (50'432 fr. 80 SUVA) - ainsi que la qualité de la majorité des créanciers ne rendent pas vraisemblable que la situation se serait améliorée au cours de l'année 2015 ou que les difficultés de paiement soient passagères. Le plaignant a, certes, cherché à satisfaire ses partenaires commerciaux, comme le démontre le nombre relativement peu élevé de poursuites récentes introduites par des entreprises commerciales à son encontre. Il continue également à se voir attribuer des contrats avec des partenaires commerciaux à priori solvables, tels l'aéroport de Genève, les CFF ou l'Etat de Genève. En revanche, il ne s'acquitte plus régulièrement tant de ses charges sociales – que ce soit en tant qu'indépendant ou en tant qu'employeur – que de ses charges fiscales; les montants en poursuite relatifs à ces créanciers sont en outre importants. Au vu de l'ensemble de ces éléments, le critère de la rentabilité n'est pas rempli et le plaignant ne peut donc se prévaloir du bénéfice de compétence de l'art. 92 al. 1 ch. 3 LP. Les biens mobiliers figurant sur les procès-verbaux de saisie n'étant pas insaisissables au sens de la disposition précitée, lesdits procès-verbaux ne sont pas frappés de nullité. Partant, en tant que les plaintes sont dirigées contre ces procès- verbaux, elles doivent, pour ce motif également, être déclarées irrecevables.</w:t>
      </w:r>
    </w:p>
    <w:p>
      <w:r>
        <w:rPr>
          <w:b/>
        </w:rPr>
        <w:t>E. 3</w:t>
      </w:r>
    </w:p>
    <w:p>
      <w:r>
        <w:t>Le plaignant reproche ensuite à l'Office de ne pas avoir maintenu le sursis à l'exécution des saisies litigieuses.</w:t>
      </w:r>
    </w:p>
    <w:p>
      <w:r>
        <w:rPr>
          <w:b/>
        </w:rPr>
        <w:t>E. 3.1</w:t>
      </w:r>
    </w:p>
    <w:p>
      <w:r>
        <w:t>L'Office informe le débiteur de la réquisition de réaliser dans les trois jours (art. 120 LP). Les biens meubles, y compris les créances, sont réalisés par l'Office dix jours au plus tôt et deux mois au plus tard à compter de la réception de la réquisition de vente (art. 122 al. 1 LP). Si le débiteur rend vraisemblable qu'il peut acquitter sa dette par acomptes et s'il s'engage à verser à l'office des acomptes réguliers et appropriés, le Préposé peut renvoyer la réalisation de douze mois au plus, une fois le premier versement effectué (art. 123 al. 1 LP). Le sursis est caduc de plein droit lorsqu'un acompte n'est pas versé à temps (art. 123 al. 5 in fine LP) et ce, quelle que soit la cause du retard. Dans ce cas, l'Office doit procéder immédiatement à la réalisation sans nouvelle réquisition du poursuivant (BETTSCHART, in Poursuite et faillite, Commentaire romand, DALLEVES et al. [éd.], Bâle 2005, ad art. 123 n. 21).</w:t>
      </w:r>
    </w:p>
    <w:p>
      <w:r>
        <w:rPr>
          <w:b/>
        </w:rPr>
        <w:t>E. 3.2</w:t>
      </w:r>
    </w:p>
    <w:p>
      <w:r>
        <w:t>En l'espèce, le plaignant ne conteste pas avoir manqué de s'acquitter des mensualités de juin et de juillet 2015 dans les délais convenus avec l'Office. Il</w:t>
      </w:r>
    </w:p>
    <w:p>
      <w:r>
        <w:t>- 10/13 -</w:t>
      </w:r>
    </w:p>
    <w:p>
      <w:r>
        <w:t>A/2959/2015-CS</w:t>
      </w:r>
    </w:p>
    <w:p>
      <w:r>
        <w:t>s'ensuit que le sursis est devenu caduc de plein droit, en application de l'art. 123 al. 5 in fine LP. Conformément aux principes rappelés ci-dessus, les raisons pour lesquelles le plaignant n'a pas été en mesure de respecter les échéances fixées sont indifférentes. Il est également sans incidence que l'entreprise du plaignant soit rentable ou qu'elle ne le soit pas. De même, le fait que l'Office ait précédemment accepté de maintenir le sursis malgré un premier défaut de paiement du plaignant ne signifie pas qu'un tel maintien doive à nouveau lui être accordé. L'Office n'a commis aucun abus de droit en constatant la caducité du sursis lors du second défaut de paiement, ce d'autant que ce défaut persistait trois semaines après l'échéance fixée. Par conséquent, la plainte sera rejetée en tant qu'elle vise la décision de l'Office constatant la révocation du sursis.</w:t>
      </w:r>
    </w:p>
    <w:p>
      <w:r>
        <w:rPr>
          <w:b/>
        </w:rPr>
        <w:t>E. 4</w:t>
      </w:r>
    </w:p>
    <w:p>
      <w:r>
        <w:t>L'appelant conteste enfin que l'Office puisse procéder à l'enlèvement des biens saisis sans mettre à sa disposition des biens de remplacement.</w:t>
      </w:r>
    </w:p>
    <w:p>
      <w:r>
        <w:rPr>
          <w:b/>
        </w:rPr>
        <w:t>E. 4.1</w:t>
      </w:r>
    </w:p>
    <w:p>
      <w:r>
        <w:t>Les objets mentionnés à l'art. 92 al. 1 ch. 3 LP sont saisissables lorsqu'ils ont une valeur élevée; ils ne peuvent cependant être enlevés au débiteur que si le créancier met à la disposition de ce dernier, avant leur enlèvement, des objets de remplacement qui ont la même valeur d'usage, ou la somme nécessaire à leur acquisition (art. 92 al. 3 LP). Selon la jurisprudence, il ne suffit pas que l'objet en cause soit de valeur élevée; il faut qu'il y ait une disproportion évidente entre la valeur de l'objet a priori insaisissable et celle d'un objet qui sert au même but. La réalisation de l'objet remplacé doit fournir un excédent notable (OCHSNER, op. cit., ad art. 92 LP n° 197 et réf. citées).</w:t>
      </w:r>
    </w:p>
    <w:p>
      <w:r>
        <w:rPr>
          <w:b/>
        </w:rPr>
        <w:t>E. 4.2</w:t>
      </w:r>
    </w:p>
    <w:p>
      <w:r>
        <w:t>En l'espèce, l'Office n'a pas saisi les biens litigieux au motif qu'ils présentaient une valeur élevée, au sens rappelé ci-dessus. Comme exposé ci-dessus, ces biens ont été saisis et pouvaient l'être, car ils relevaient de l'exploitation d'une entreprise; à ce titre, ils ne sont pas visés par l'art. 92 al. 3 LP. Il s'ensuit que l'Office n'était nullement tenu de mettre à la disposition du plaignant des biens de remplacement. Au demeurant, il n'apparaît pas que la valeur desdits biens serait élevée, soit qu'il existerait une quelconque disproportion entre cette valeur et celle de biens pouvant servir au même but. Par conséquent, le moyen sera écarté et la plainte sera intégralement rejetée, dans la mesure où elle est recevable.</w:t>
      </w:r>
    </w:p>
    <w:p>
      <w:r>
        <w:t>- 11/13 -</w:t>
      </w:r>
    </w:p>
    <w:p>
      <w:r>
        <w:t>A/2959/2015-CS</w:t>
      </w:r>
    </w:p>
    <w:p>
      <w:r>
        <w:rPr>
          <w:b/>
        </w:rPr>
        <w:t>E. 5</w:t>
      </w:r>
    </w:p>
    <w:p>
      <w:r>
        <w:t>La procédure de plainte est gratuite (art. 20a al. 2 ch. 5 LP et art. 61 al. 2 let. a OELP) et il ne peut être alloué aucun dépens (art. 62 al. 2 OELP). * * * * *</w:t>
      </w:r>
    </w:p>
    <w:p>
      <w:r>
        <w:t>- 12/13 -</w:t>
      </w:r>
    </w:p>
    <w:p>
      <w:r>
        <w:t>A/2959/2015-CS</w:t>
      </w:r>
    </w:p>
    <w:p>
      <w:r>
        <w:t>PAR CES MOTIFS, La Chambre de surveillance : A la forme : Déclare recevables les plaintes formées le 2 septembre 2015 par M. M______ contre la décision du 21 août 2015 constatant la caducité du sursis et annonçant l'enlèvement des biens saisis selon les procès-verbaux nos 13 xxxx11 L et 13 xxxx67 K, ainsi que la plainte expédiée le 6 novembre 2015 contre les avis de réception de réquisitions de vente des 1er et 5 octobre 2015, dans les poursuites n os 552 950 U, 15 xxxx88 K, 14 xxxx20 X, 15 xxxx49 Z, 15 xxxx51 M, 15 xxxx64 L, 15 xxxx40 J et 14 xxxx06 H Les déclare irrecevables pour le surplus. Ordonne leur jonction sous cause A/2959/2015. Au fond : Rejette les plaintes. Siégeant : Madame Florence KRAUSKOPF, présidente; Madame Natalie OPPATJA et Monsieur Christian CHAVAZ, juges assesseur(e)s; Madame Véronique PISCETTA, greffière.</w:t>
      </w:r>
    </w:p>
    <w:p>
      <w:r>
        <w:t>La présidente : Florence KRAUSKOPF</w:t>
      </w:r>
    </w:p>
    <w:p>
      <w:r>
        <w:t>La greffière : Véronique PISCETTA</w:t>
      </w:r>
    </w:p>
    <w:p>
      <w:r>
        <w:t>- 13/13 -</w:t>
      </w:r>
    </w:p>
    <w:p>
      <w:r>
        <w:t>A/2959/2015-CS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