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DCSO/380/2012 vom 11. Dezember 2007</w:t>
      </w:r>
    </w:p>
    <w:p>
      <w:r>
        <w:t>GE Cour de justice, 2007-12-11, FR</w:t>
      </w:r>
    </w:p>
    <w:p>
      <w:r>
        <w:rPr>
          <w:b/>
        </w:rPr>
        <w:t xml:space="preserve">Quelle: </w:t>
      </w:r>
      <w:r>
        <w:t>https://mcp.opencaselaw.ch/entscheid/ge_gerichte_DCSO_380_2012</w:t>
      </w:r>
    </w:p>
    <w:p>
      <w:r>
        <w:t>FR: GE_GERICHTE DCSO/380/2012 du 11 décembre 2007</w:t>
      </w:r>
    </w:p>
    <w:p>
      <w:r>
        <w:t>IT: GE_GERICHTE DCSO/380/2012 del 11 dicembre 2007</w:t>
      </w:r>
    </w:p>
    <w:p>
      <w:pPr>
        <w:pStyle w:val="Heading2"/>
      </w:pPr>
      <w:r>
        <w:t>Regeste</w:t>
      </w:r>
    </w:p>
    <w:p>
      <w:r>
        <w:t>Résumé: La plaignante, créancière gagiste colloquée, n'a pas d'intérêt à porter plainte, dès lors que le complément à l'inventaire ne lui est pas préjudiciable.</w:t>
      </w:r>
    </w:p>
    <w:p>
      <w:pPr>
        <w:pStyle w:val="Heading2"/>
      </w:pPr>
      <w:r>
        <w:t>Erwägungen</w:t>
      </w:r>
    </w:p>
    <w:p>
      <w:r>
        <w:rPr>
          <w:b/>
        </w:rPr>
        <w:t>E. 1.1</w:t>
      </w:r>
    </w:p>
    <w:p>
      <w:r>
        <w:t>La Chambre de surveillance est compétente pour statuer sur les plaintes formées en application de la LP (art. 13 LP; art. 126 al. 2 let. c LOJ; art. 6 al. 1 et</w:t>
      </w:r>
    </w:p>
    <w:p>
      <w:r>
        <w:t>- 5/6 -</w:t>
      </w:r>
    </w:p>
    <w:p>
      <w:r>
        <w:t>A/2281/2012-CS</w:t>
      </w:r>
    </w:p>
    <w:p>
      <w:r>
        <w:rPr>
          <w:b/>
        </w:rPr>
        <w:t>E. 1.2</w:t>
      </w:r>
    </w:p>
    <w:p>
      <w:r>
        <w:t>La plainte contre une mesure de l'Office doit être déposée dans les dix jours suivant celui où le plaignant a eu connaissance de la décision attaquée (art. 17 al. 2 LP). En l'espèce, la décision entreprise a été communiquée à la plaignante le 12 juillet 2012. Déposée le 23 juillet 2012 selon les formes prescrites par la loi (art. 9 al. 1 LaLP), la plainte l'a été en temps utile.</w:t>
      </w:r>
    </w:p>
    <w:p>
      <w:r>
        <w:rPr>
          <w:b/>
        </w:rPr>
        <w:t>E. 1.3</w:t>
      </w:r>
    </w:p>
    <w:p>
      <w:r>
        <w:t>Dans son arrêt du 24 août 2012 (5A_517/2012), rappelant notamment que la qualité pour porter plainte selon l'art. 17 LP suppose que le plaignant soit matériellement lésé par les effets de la décision attaquée et ait un intérêt digne de protection à sa modification ou à son annulation (consid. 4.1.1 et les arrêts cités), le Tribunal fédéral a retenu que D______ SA ne pouvait se plaindre devant l'autorité de surveillance d'une modification de l'inventaire de la faillite ancillaire de X______ que si celle-ci lui était préjudiciable (consid. 4.2).</w:t>
      </w:r>
    </w:p>
    <w:p>
      <w:r>
        <w:rPr>
          <w:b/>
        </w:rPr>
        <w:t>E. 1.4</w:t>
      </w:r>
    </w:p>
    <w:p>
      <w:r>
        <w:t>En l'espèce, la modification litigieuse ne réduit pas l'étendue du gage de la plaignante. Elle ne porte donc pas atteinte à sa situation juridique ni ne lui est préjudiciable. Il s'ensuit que la plainte doit être déclarée irrecevable, faute d'intérêt à agir par cette voie. 2. La procédure de plainte est gratuite (art. 20a al. 2 ch. 5 LP et art. 61 al. 2 let. a OELP) et il ne peut être alloué aucun dépens dans cette procédure (62 al. 2 OELP). Conformément à ces dispositions, la présente décision est rendue sans frais ni dépens. * * * * *</w:t>
      </w:r>
    </w:p>
    <w:p>
      <w:r>
        <w:t>- 6/6 -</w:t>
      </w:r>
    </w:p>
    <w:p>
      <w:r>
        <w:t>A/2281/2012-CS PAR CES MOTIFS, La Chambre de surveillance : Déclare irrecevable la plainte formée le 23 juillet 2012 par D______ SA contre la décision d'inventorier une créance dans la faillite ancillaire de X______ rendue le 10 juillet 2012 par l'Office des faillites. Siégeant : Monsieur Grégory BOVEY, président; Madame Valérie CARERA et Monsieur Christian CHAVAZ, juges assesseur(e)s;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3</w:t>
      </w:r>
    </w:p>
    <w:p>
      <w:r>
        <w:t>et 7 al. 1 LaLP) contre des mesures non attaquables par la voie judiciaire (art. 17 al. 1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