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DCSO/378/2022 vom 15. Dezember 2021</w:t>
      </w:r>
    </w:p>
    <w:p>
      <w:r>
        <w:t>GE Cour de justice, 2021-12-15, FR</w:t>
      </w:r>
    </w:p>
    <w:p>
      <w:r>
        <w:rPr>
          <w:b/>
        </w:rPr>
        <w:t xml:space="preserve">Quelle: </w:t>
      </w:r>
      <w:r>
        <w:t>https://mcp.opencaselaw.ch/entscheid/ge_gerichte_DCSO_378_2022</w:t>
      </w:r>
    </w:p>
    <w:p>
      <w:r>
        <w:t>FR: GE_GERICHTE DCSO/378/2022 du 15 décembre 2021</w:t>
      </w:r>
    </w:p>
    <w:p>
      <w:r>
        <w:t>IT: GE_GERICHTE DCSO/378/2022 del 15 dicembre 2021</w:t>
      </w:r>
    </w:p>
    <w:p>
      <w:pPr>
        <w:pStyle w:val="Heading2"/>
      </w:pPr>
      <w:r>
        <w:t>Erwägungen</w:t>
      </w:r>
    </w:p>
    <w:p>
      <w:r>
        <w:rPr>
          <w:b/>
        </w:rPr>
        <w:t>E. 1</w:t>
      </w:r>
    </w:p>
    <w:p>
      <w:r>
        <w:t>1.1.1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1.1.2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CR LP, n° 32 et 33 ad art. 17 LP).</w:t>
      </w:r>
    </w:p>
    <w:p>
      <w:r>
        <w:t>- 4/9 -</w:t>
      </w:r>
    </w:p>
    <w:p>
      <w:r>
        <w:t>A/2374/2022-CS</w:t>
      </w:r>
    </w:p>
    <w:p>
      <w:r>
        <w:t>1.1.3 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 SORENSEN, in BSK SchKG I, 2010, n° 19 ad art. 112 LP et ZONDLER, in Kommentar SchKG, 2017, Kren Kostkiewicz/Vock [éd.], n° 4 ad art. 114 LP). Selon la jurisprudence de la Chambre de céans (DCSO/196/2021 du 27 mai 2021; DCSO/203/2019 du 2 mai 2019),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w:t>
      </w:r>
    </w:p>
    <w:p>
      <w:r>
        <w:t>1.2.1 La plainte est dirigée en l'espèce d'une part contre la décision de l'Office cantonal des poursuites de donner suite à la réquisition du créancier de continuer la poursuite n° 1______, le plaignant soutenant que la décision de mainlevée prononcée le 15 décembre 2021 par l'assureur-maladie ne lui aurait pas été notifiée. La question de savoir si la plainte déposée le 15 juillet 2022 l'a été en temps utile à cet égard souffre de rester indécise, vu l'issue de la procédure sur ce point.</w:t>
      </w:r>
    </w:p>
    <w:p>
      <w:r>
        <w:t>1.2.2 La plainte est d'autre part dirigée contre l'exécution de la saisie, soit une mesure pouvant être attaquée par cette voie, et émane d'une personne touchée dans ses intérêts juridiques. Dans la mesure où il se plaint d'une violation de son minimum vital, le plaignant pouvait par ailleurs contester l'exécution de la saisie sans attendre de recevoir le procès-verbal de saisie, ce qu'il a fait après avoir eu connaissance de la saisie de sa rente LPP, intervenue le 7 juillet 2022. En tout état de cause, une atteinte flagrante au minimum vital est sanctionnée de la nullité, de sorte que la plainte est recevable en tout temps.</w:t>
      </w:r>
    </w:p>
    <w:p>
      <w:r>
        <w:t>La plainte pour atteinte au minimum vital est donc recevable.</w:t>
      </w:r>
    </w:p>
    <w:p>
      <w:r>
        <w:t>1.2.3 Dans la mesure où le plaignant a pu contester le calcul de son minimum vital, que l'Office lui a remis après l'avoir entendu le 5 juillet 2022, son grief relatif à l'absence d'une décision de saisie n'est pour le surplus pas fondé.</w:t>
      </w:r>
    </w:p>
    <w:p>
      <w:r>
        <w:rPr>
          <w:b/>
        </w:rPr>
        <w:t>E. 2</w:t>
      </w:r>
    </w:p>
    <w:p>
      <w:r>
        <w:t>Le plaignant soutient que l'Office n'était pas en droit de continuer la poursuite n° 1______, faute de décision définitive prononçant la mainlevée de l'opposition à ladite poursuite valablement notifiée.</w:t>
      </w:r>
    </w:p>
    <w:p>
      <w:r>
        <w:rPr>
          <w:b/>
        </w:rPr>
        <w:t>E. 2.1</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(cf. ég. art. 88 al. 2 LP).</w:t>
      </w:r>
    </w:p>
    <w:p>
      <w:r>
        <w:t>- 5/9 -</w:t>
      </w:r>
    </w:p>
    <w:p>
      <w:r>
        <w:t>A/2374/2022-CS</w:t>
      </w:r>
    </w:p>
    <w:p>
      <w:r>
        <w:t>Une caisse-maladie, assimilée à une autorité de mainlevée, est en droit, postérieurement à la notification d'un commandement de payer frappé d'opposition, de rendre elle-même une décision fondée sur l'art. 49 LPGA levant formellement cette opposition (ATF 130 III 396 consid.1.2.3; 128 III 246 consid. 2; arrêt du Tribunal fédéral K 63/05 du 26 juin 2006 consid. 7.2).</w:t>
      </w:r>
    </w:p>
    <w:p>
      <w:r>
        <w:t>La décision d'une caisse-maladie prononçant la mainlevée de l'opposition à un commandement de payer est une décision sujette à opposition au sens de l'art. 52 LPGA. Une telle décision peut donc être attaquée par l'assuré poursuivi dans les trente jours par voie d'opposition auprès de la caisse-maladie qui l'a rendue (art. 52 al. 1 LPGA).</w:t>
      </w:r>
    </w:p>
    <w:p>
      <w:r>
        <w:t>Si l'assuré poursuivi ne la conteste pas dans le délai prescrit, la décision de mainlevée de l'opposition rendue par la caisse-maladie devient définitive et exécutoire (art. 54 al. 1 let. a LPGA), de sorte que l'Office doit continuer la poursuite sur simple réquisition de la caisse (ATF 121 V 109 consid. 2; 119 V 331 consid. 2b; arrêt du Tribunal fédéral K 63/05 précité consid. 8).</w:t>
      </w:r>
    </w:p>
    <w:p>
      <w:r>
        <w:t>Selon la jurisprudence, la décision de mainlevée de l'assureur-maladie peut être notifiée par courrier A Plus, qui est un mode de communication admis en matière de notification des décisions par les assureurs (cf. ATF 142 III 599).</w:t>
      </w:r>
    </w:p>
    <w:p>
      <w:r>
        <w:rPr>
          <w:b/>
        </w:rPr>
        <w:t>E. 2.2</w:t>
      </w:r>
    </w:p>
    <w:p>
      <w:r>
        <w:t>En l'espèce, la créancière poursuivante, une caisse d'assurance-maladie au sens de la LAMal, a prononcé la mainlevée de l'opposition formée par le plaignant à l'encontre de la poursuite n° 1______, par décision rendue le 15 décembre 2021.</w:t>
      </w:r>
    </w:p>
    <w:p>
      <w:r>
        <w:t>Cette décision a été notifiée au plaignant au moyen d'un courrier A Plus, lequel a été distribué selon le track and trace (n° 4______) le 17 décembre 2021. Ce mode de notification étant admis en matière de notifications des décisions des assureurs-maladie, l'argument du plaignant selon lequel aucun pli recommandé ne lui aurait été notifié entre le 15 décembre 2021 et fin janvier 2022 n'est pas décisif, la décision de mainlevée ayant été notifiée par une autre voie. Le plaignant n'y ayant pas fait opposition en temps utile, cette décision est devenue définitive, conformément à l'attestation transmise à l'Office par la caisse-maladie avec sa réquisition de continuer la poursuite.</w:t>
      </w:r>
    </w:p>
    <w:p>
      <w:r>
        <w:t>Il suit de là que c'est à bon droit que l'Office a donné suite à cette réquisition de continuer la poursuite. La plainte, mal fondée, doit être rejetée sur ce point.</w:t>
      </w:r>
    </w:p>
    <w:p>
      <w:r>
        <w:rPr>
          <w:b/>
        </w:rPr>
        <w:t>E. 3</w:t>
      </w:r>
    </w:p>
    <w:p>
      <w:r>
        <w:t>Le plaignant fait aussi valoir que la saisie opérée serait excessive, l'Office n'ayant pas tenu compte de certaines charges.</w:t>
      </w:r>
    </w:p>
    <w:p>
      <w:r>
        <w:t>3.1.1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w:t>
      </w:r>
    </w:p>
    <w:p>
      <w:r>
        <w:t>- 6/9 -</w:t>
      </w:r>
    </w:p>
    <w:p>
      <w:r>
        <w:t>A/2374/2022-CS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Les dépenses nécessaires à l'entretien du débiteur se composent en premier lieu d'une base mensuelle d'entretien, fixée selon la situation familiale du débiteur, qui doit lui permettre de couvrir ses dépenses élémentaires, parmi l'alimentation, les vêtements et le linge, les soins corporels, l'entretien du logement, les frais culturels, la téléphonie et la connectivité, l'éclairage, l'électricité, le gaz, les assurances privées, etc. (art. I NI 2022). D'autres charges indispensables, comme les frais de logement (art. II.1 et II.3 NI-2022), les primes d'assurance-maladie obligatoire (art. II.3 NI-2022) ou les frais de déplacement du domicile au lieu de travail, doivent être ajoutées à cette base mensuelle d'entretien, pour autant qu'elles soient effectivement payées (OCHSNER, in CR-LP, n° 82 ad art. 93 LP).</w:t>
      </w:r>
    </w:p>
    <w:p>
      <w:r>
        <w:t>3.1.2 Selon l'art. 92 al. 1 ch. 9a LP, les rentes versées au titre de l'Assurance- invalidité sont insaisissables. L'art. 93 al. 1 LP prévoit en revanche que les rentes versées par des institutions de prévoyance professionnelle peuvent être saisies, déduction faite de ce que l'Office estime indispensable au débiteur et à sa famille (minimum vital) (ATF 120 III 71 consid. 4).</w:t>
      </w:r>
    </w:p>
    <w:p>
      <w:r>
        <w:t>Dans les cas où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(ATF135 III 20 consid. 5.1).</w:t>
      </w:r>
    </w:p>
    <w:p>
      <w:r>
        <w:t>3.1.3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(ATF 114 II 12 consid. 3; arrêts du Tribunal fédéral 6B_390/2011 du 6 octobre 2011 consid. 3 et 7B.240/2001 du 18 décembre 2001; DCSO/210/2012 du 31 mai 2012 consid. 6.1).</w:t>
      </w:r>
    </w:p>
    <w:p>
      <w:r>
        <w:rPr>
          <w:b/>
        </w:rPr>
        <w:t>E. 3.2</w:t>
      </w:r>
    </w:p>
    <w:p>
      <w:r>
        <w:t>En l'espèce, c'est à raison que l'Office a pris en considération, pour établir les revenus du débiteur, les rentes AI et LPP perçues par lui, au vu de la jurisprudence constante selon laquelle les revenus insaisissables doivent être ajoutés aux revenus saisissables afin de calculer la part saisissable (ATF 135 III 20 consid. 5.1).</w:t>
      </w:r>
    </w:p>
    <w:p>
      <w:r>
        <w:t>- 7/9 -</w:t>
      </w:r>
    </w:p>
    <w:p>
      <w:r>
        <w:t>A/2374/2022-CS</w:t>
      </w:r>
    </w:p>
    <w:p>
      <w:r>
        <w:t>C'est aussi à juste titre que l'Office a tenu compte dans son calcul des revenus de l'épouse du plaignant, le montant retenu à ce titre ayant été fixé sur la base des indications fournies par le plaignant à cet égard.</w:t>
      </w:r>
    </w:p>
    <w:p>
      <w:r>
        <w:t>Les frais de déplacement de l'épouse du plaignant allégués n'ont pas été documentés, le plaignant n'ayant pas non plus rendu vraisemblable le caractère indispensable de ces dépenses à l'exercice de la profession de son épouse.</w:t>
      </w:r>
    </w:p>
    <w:p>
      <w:r>
        <w:t>A supposer qu'elles soient indispensables, les autres charges de l'épouse n'ont été qu'alléguées, le plaignant n'ayant fourni aucun justificatif prouvant leur paiement effectif.</w:t>
      </w:r>
    </w:p>
    <w:p>
      <w:r>
        <w:t>Il en va de même du montant que le plaignant allègue verser chaque mois à son père. Quand bien même les conditions relatives à l'obligation d'entretien en vertu du droit de la famille seraient réunies, ce qui suppose que le débirentier vive dans l'aisance (art. 328 CC), le plaignant n'établit pas qu'il verse effectivement chaque mois 1'500 fr. pour l'entretien de son père. C'est dès lors à raison que l'Office n'a pas admis cette charge.</w:t>
      </w:r>
    </w:p>
    <w:p>
      <w:r>
        <w:t>Conformément à la jurisprudence rappelée ci-dessus, le calcul de la quotité saisissable du plaignant se détermine par conséquent comme suit : Revenus du poursuivi : 4'675 fr. 55 (3'169 fr. 55 + 1'506 fr.) Revenus du conjoint : 10'000 fr. ___________________________ Total revenus 14'675 fr. 55</w:t>
      </w:r>
    </w:p>
    <w:p>
      <w:r>
        <w:t>Montant de base pour un couple : 1'700 fr. Loyer : 2'820 fr. Assurance-maladie du conjoint : 498 fr. 25 Repas extérieurs du conjoint : 242 fr. Frais de transport du conjoint : 70 fr. ________________________________________ Minimum vital du couple: 5'330 fr. 25 Le minimum vital du poursuivi se détermine selon le calcul suivant : 5'330 fr. 25 x 4'675 fr. 55 / 14'675 fr. 55 = 1'698 fr. 20 (arrondi).</w:t>
      </w:r>
    </w:p>
    <w:p>
      <w:r>
        <w:t>La quotité saisissable résulte de la soustraction du minimum vital ainsi établi du revenu du plaignant, soit 4'675 fr. 55 - 1'698 fr. 20 = 2'977 fr. 35.</w:t>
      </w:r>
    </w:p>
    <w:p>
      <w:r>
        <w:t>Le calcul de l'Office, qui a fixé la quotité saisissable à 2'975 fr. par mois, n'est ainsi pas critiquable.</w:t>
      </w:r>
    </w:p>
    <w:p>
      <w:r>
        <w:t>- 8/9 -</w:t>
      </w:r>
    </w:p>
    <w:p>
      <w:r>
        <w:t>A/2374/2022-CS</w:t>
      </w:r>
    </w:p>
    <w:p>
      <w:r>
        <w:t>Mal fondée, la plainte sera rejetée.</w:t>
      </w:r>
    </w:p>
    <w:p>
      <w:r>
        <w:rPr>
          <w:b/>
        </w:rPr>
        <w:t>E. 4</w:t>
      </w:r>
    </w:p>
    <w:p>
      <w:r>
        <w:t>La procédure de plainte est gratuite (art. 20a al. 2 ch. 5 LP et art. 61 al. 2 let. a OELP). * * * * *</w:t>
      </w:r>
    </w:p>
    <w:p>
      <w:r>
        <w:t>- 9/9 -</w:t>
      </w:r>
    </w:p>
    <w:p>
      <w:r>
        <w:t>A/2374/2022-CS PAR CES MOTIFS, La Chambre de surveillance : Rejette, en tant qu'elle est recevable, la plainte formée le 15 juillet 2022 par A______ dans la poursuite n° 1______ et contre la saisie effectuée par l'Office cantonal des poursuites dans la série n° 2______.</w:t>
      </w:r>
    </w:p>
    <w:p>
      <w:r>
        <w:t>Siégeant : Madame Verena PEDRAZZINI RIZZI, présidente; Monsieur Luca MINOTTI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