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DCSO/377/2017 vom 2. August 2017</w:t>
      </w:r>
    </w:p>
    <w:p>
      <w:r>
        <w:t>GE Cour de justice, 2017-08-02, FR</w:t>
      </w:r>
    </w:p>
    <w:p>
      <w:r>
        <w:rPr>
          <w:b/>
        </w:rPr>
        <w:t xml:space="preserve">Quelle: </w:t>
      </w:r>
      <w:r>
        <w:t>https://mcp.opencaselaw.ch/entscheid/ge_gerichte_DCSO_377_2017</w:t>
      </w:r>
    </w:p>
    <w:p>
      <w:r>
        <w:t>FR: GE_GERICHTE DCSO/377/2017 du 2 août 2017</w:t>
      </w:r>
    </w:p>
    <w:p>
      <w:r>
        <w:t>IT: GE_GERICHTE DCSO/377/2017 del 2 agosto 2017</w:t>
      </w:r>
    </w:p>
    <w:p>
      <w:pPr>
        <w:pStyle w:val="Heading2"/>
      </w:pPr>
      <w:r>
        <w:t>Erwägungen</w:t>
      </w:r>
    </w:p>
    <w:p>
      <w:r>
        <w:rPr>
          <w:b/>
        </w:rPr>
        <w:t>E. 1</w:t>
      </w:r>
    </w:p>
    <w:p>
      <w:r>
        <w:t>La Chambre de surveillance, siégeant en plénum des juges titulaires et assesseurs (art. 7 al. 3 let. c LaLP), est compétente pour statuer sur la fixation de la rémunération horaire des membres de l'administration spéciale et de la commission de surveillance (art. 47 OELP, art. 97 OAOF).</w:t>
      </w:r>
    </w:p>
    <w:p>
      <w:r>
        <w:rPr>
          <w:b/>
        </w:rPr>
        <w:t>E. 2</w:t>
      </w:r>
    </w:p>
    <w:p>
      <w:r>
        <w:t>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103 III 65 consid. 1).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que l'administration soit ordinaire ou spéciale (art. 47 al. 2 OELP).</w:t>
      </w:r>
    </w:p>
    <w:p>
      <w:r>
        <w:rPr>
          <w:b/>
        </w:rPr>
        <w:t>E. 3</w:t>
      </w:r>
    </w:p>
    <w:p>
      <w:r>
        <w:t>En l'espèce, il peut être admis que la liquidation de la faillite de B______ SA présente une certaine complexité, au vu de la teneur de l'état de collocation établi par l'Office dans cette faillite ainsi que des explications de l'ancien administrateur spécial de cette faillite à la Chambre de surveillance. L'ensemble de ce qui précède justifie une modification en faveur de ce dernier de la tarification ordinaire prévue par l’OELP et il sera fait droit à sa requête, de sorte que sera fixée à 450 fr. la rémunération horaire des activités déployées par lui- même dans le cadre de ses anciennes fonctions d'administrateur spécial de la faillite de B______ SA, ainsi que par les avocats travaillant au sein de son Etude dans ce même cadre. * * * * *</w:t>
      </w:r>
    </w:p>
    <w:p>
      <w:r>
        <w:t>- 4/4 -</w:t>
      </w:r>
    </w:p>
    <w:p>
      <w:r>
        <w:t>A/2686/2015-CS PAR CES MOTIFS, La Chambre de surveillance : Fixe à 450 fr. la rémunération horaire de Me A______ pour son activité déployée en sa qualité d'ancien administrateur spécial de la faillite de B______ SA ainsi que pour celle des avocats travaillant au sein de son Etude dans le cadre de cette administration spéciale. Siégeant : Madame Valérie LAEMMEL-JUILLARD, présidente; Madame Pauline ERARD et Monsieur Patrick CHENAUX, juges; Madame Marilyn NAHMANI, Monsieur Georges ZUFFEREY, Monsieur Michel BERTSCHY, Monsieur Claude MARCET, Monsieur Christian CHAVAZ, Monsieur Eric de PREUX, Monsieur Mathieu HOWALD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