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DCSO/375/2015 vom 11. Mai 2015</w:t>
      </w:r>
    </w:p>
    <w:p>
      <w:r>
        <w:t>GE Cour de justice, 2015-05-11, FR</w:t>
      </w:r>
    </w:p>
    <w:p>
      <w:r>
        <w:rPr>
          <w:b/>
        </w:rPr>
        <w:t xml:space="preserve">Quelle: </w:t>
      </w:r>
      <w:r>
        <w:t>https://mcp.opencaselaw.ch/entscheid/ge_gerichte_DCSO_375_2015</w:t>
      </w:r>
    </w:p>
    <w:p>
      <w:r>
        <w:t>FR: GE_GERICHTE DCSO/375/2015 du 11 mai 2015</w:t>
      </w:r>
    </w:p>
    <w:p>
      <w:r>
        <w:t>IT: GE_GERICHTE DCSO/375/2015 del 11 maggio 2015</w:t>
      </w:r>
    </w:p>
    <w:p>
      <w:pPr>
        <w:pStyle w:val="Heading2"/>
      </w:pPr>
      <w:r>
        <w:t>Erwägungen</w:t>
      </w:r>
    </w:p>
    <w:p>
      <w:r>
        <w:rPr>
          <w:b/>
        </w:rPr>
        <w:t>E. 1</w:t>
      </w:r>
    </w:p>
    <w:p>
      <w:r>
        <w:t>1.1.1 La Chambre de surveillance est compétente pour statuer sur les plaintes formées en application de la LP (art. 13 LP; art. 126 al. 2 let. c LOJ; art. 6 al. 1 et</w:t>
      </w:r>
    </w:p>
    <w:p>
      <w:r>
        <w:rPr>
          <w:b/>
        </w:rPr>
        <w:t>E. 3</w:t>
      </w:r>
    </w:p>
    <w:p>
      <w:r>
        <w:t>et 7 al. 1 LaLP) contre des mesures non attaquables par la voie judiciaire (art. 17 al. 1 LP). La communication par l'office des poursuites de la nouvelle estimation de l'immeuble saisi, effectuée après réception de la réquisition de vente en application des art. 140 al. 3 LP et 44 ORFI, constitue une décision sujette à plainte au sens de l'art. 17 LP (arrêt du Tribunal fédéral 7B.147/2004 du 9 août 2004 consid. 1.2). 1.1.2 La plainte doit être déposée dans les dix jours suivant celui où le plaignant a eu connaissance de la mesure (art. 17 al. 2 LP). Le destinataire prend connaissance de la mesure au moment où la notification, respectivement la communication a eu lieu dans les formes prévues par la loi et pour autant qu'elle renseigne exactement le destinataire sur la date et les motifs de la décision ou de la mesure (ERARD, in Commentaire romand LP, 2005, n. 47 ad art. 17 LP et les références citées). En l'espèce, la plainte a été formée le 8 juin 2015 contre une décision rendue le 11 mai 2015. Cela étant, la plaignante a eu connaissance de l'expertise sur laquelle l'Office s'est fondé pour rendre sa décision au plus tôt le 27 mai 2015. Il y a donc lieu de considérer que le délai de 10 jours a commencé à courir le 28 mai 2015, de sorte que la plainte a été interjetée en temps utile (art. 142 al. 3 CPC, applicable par renvoi de l'art. 31 LP).</w:t>
      </w:r>
    </w:p>
    <w:p>
      <w:r>
        <w:t>- 5/9 -</w:t>
      </w:r>
    </w:p>
    <w:p>
      <w:r>
        <w:t>A/1720/2015 -CS Elle respecte en outre les formes prescrites par la loi (art. 9 al. 1 LaLP et art. 65 al. 1 et 2 LPA), de sorte qu'elle est recevable. 1.2.1 Selon l'art. 9 al. 2 ORFI, dans le délai de plainte contre la saisie (art. 17 al. 2 LP), chacun des intéressés a le droit d'exiger, en s'adressant à l'autorité de surveillance et moyennant avance des frais, qu'une nouvelle estimation soit faite par des experts (cf. ég. art. 99 al. 2 ORFI; FOËX, in Commentaire romand LP, 2005, n. 19 ad art. 155 LP). Il s'agit là d'un droit inconditionnel (arrêt du Tribunal fédéral 7B.163/2005 du 19 décembre 2005 consid. 1). 1.2.2 En l'espèce, après avoir eu connaissance de la décision de l'Office, la plaignante a requis dans les délai et forme prescrits par la loi qu'une nouvelle estimation soit effectuée par un expert. Elle a en outre payé en temps utile l'avance de frais fixée par ordonnance du 5 juin 2015. La demande de nouvelle expertise est partant également recevable. 2. 2.1 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w:t>
      </w:r>
    </w:p>
    <w:p>
      <w:r>
        <w:t>- 6/9 -</w:t>
      </w:r>
    </w:p>
    <w:p>
      <w:r>
        <w:t>A/1720/2015 -CS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la Chambre de céans constate que les deux expertises ont été réalisées par des experts dont aucun élément ne permet de retenir qu'ils ne disposeraient pas de compétences comparables. Elles comportent toutes les deux une présentation détaillée des biens immobiliers, de leurs caractéristiques et de leur situation géographique. Une visite des lieux a été effectuée et des photos ont été annexées. En guise de conclusion, l'expert mandaté par l'Office retient que la valeur de réalisation des biens immobiliers à expertiser est estimée à 90% de leur valeur vénale. Cependant, dès lors que cette estimation ne repose sur aucun fondement et n'est nullement motivée, il n'y a pas lieu d'en tenir compte. Au demeurant, le rôle de l'estimation étant de servir les intérêts des créanciers et du débiteur, ainsi que de renseigner d'éventuels enchérisseurs, rien ne justifie de retenir une valeur inférieure à la valeur vénale, contrairement à ce qu'a retenu l'Office. Partant, seules les valeurs vénales estimées par les experts seront examinées ci-après. Concernant le lot xx.01, les deux experts ont abouti à un résultat relativement similaire puisque l'écart séparant les valeurs vénales estimées (2'050'000 fr. pour le premier expert et 2'130'000 fr. pour le second) n'est que d'environ 4%. L'écart est plus significatif concernant le lot xx.06, dont les estimations diffèrent de 10% (100'000 fr. selon le premier expert et 90'000 fr. pour le deuxième). Ces écarts sont principalement dus au fait que les deux experts ont pris en compte des valeurs différentes pour le prix au mètre carré des biens immobiliers et pour le taux de vétusté. Or, il est notoire que de telles valeurs sont sujettes à appréciation et qu'une différence ne signifie pas encore qu'une des deux expertises serait inexacte. Ainsi, compte tenu de ce qui précède, il convient d'arrêter la valeur vénale des biens immobiliers concernés à la moyenne des deux montants retenus à ce titre</w:t>
      </w:r>
    </w:p>
    <w:p>
      <w:r>
        <w:t>- 7/9 -</w:t>
      </w:r>
    </w:p>
    <w:p>
      <w:r>
        <w:t>A/1720/2015 -CS par les experts, soit à 2'090'000 fr. ([2'050'000 fr. + 2'130'000 fr.]/2) pour le lot xx.01 et à 95'000 fr. ([100'000 fr. + 90'000 fr.]/2) pour le lot xx.06.</w:t>
      </w:r>
    </w:p>
    <w:p>
      <w:r>
        <w:rPr>
          <w:b/>
        </w:rPr>
        <w:t>E. 3.1</w:t>
      </w:r>
    </w:p>
    <w:p>
      <w:r>
        <w:t>Le second expert a arrêté ses honoraires à 1'800 fr., montant qui paraît conforme aux tarifs usuellement pratiqués dans la branche. Sa note d'honoraires du 23 septembre 2015 peut donc être approuvée. La nouvelle expertise ayant été requise par la débitrice poursuivie, son coût restera à la charge de cette dernière (art. 9 al. 1 1ère phr. ORFI), étant précisé qu'elle en a d'ores et déjà fait l'avance.</w:t>
      </w:r>
    </w:p>
    <w:p>
      <w:r>
        <w:rPr>
          <w:b/>
        </w:rPr>
        <w:t>E. 3.2</w:t>
      </w:r>
    </w:p>
    <w:p>
      <w:r>
        <w:t>La procédure de plainte est gratuite (art. 20a al. 2 ch. 5 LP, 61 al. 2 let. a OELP). * * * * *</w:t>
      </w:r>
    </w:p>
    <w:p>
      <w:r>
        <w:t>- 8/9 -</w:t>
      </w:r>
    </w:p>
    <w:p>
      <w:r>
        <w:t>A/1720/2015 -CS PAR CES MOTIFS, La Chambre de surveillance : A la forme : Déclare recevables la demande de nouvelle expertise formée par S______ SA le 21 mai 2015 dans le cadre de la poursuite en réalisation des gages immobiliers n° 12 xxxx07 C, 12 xxxx08 B, 13 xxxx53 D et 13 xxxx54 C, ainsi que la plainte formée par celle-ci le</w:t>
      </w:r>
    </w:p>
    <w:p>
      <w:r>
        <w:rPr>
          <w:b/>
        </w:rPr>
        <w:t>E. 8</w:t>
      </w:r>
    </w:p>
    <w:p>
      <w:r>
        <w:t>juin 2015 contre la décision d'estimation de l'Office du 11 mai 2015. Au fond : Annule ladite décision. Fixe à 2'090'000 fr. la valeur d'estimation du lot xx.01 (PPE feuillet xx1 n° x) et à 95'000 fr. la valeur d'estimation du lot xx.06 (PPE feuillet n° xx5). Fixe à 1'800 fr. les frais de la nouvelle expertise établie par M. J______, les met à la charge de S______ SA et les compense avec l'avance de même montant qu'elle a fournie. Invite en conséquence les Services financiers du Pouvoir judiciaire à verser 1'800 fr. à M. J______. Siégeant : Madame Valérie LAEMMEL-JUILLARD, présidente, Madame Florence KRAUSKOPF et Monsieur Patrick CHENAUX, juges; Madame Angela FERRECCHIA PICCOLI, greffière.</w:t>
      </w:r>
    </w:p>
    <w:p>
      <w:r>
        <w:t>La présidente : Valérie LAEMMEL-JUILLARD</w:t>
      </w:r>
    </w:p>
    <w:p>
      <w:r>
        <w:t>La greffière : Angela FERRECCHIA PICCOLI</w:t>
      </w:r>
    </w:p>
    <w:p>
      <w:r>
        <w:t>- 9/9 -</w:t>
      </w:r>
    </w:p>
    <w:p>
      <w:r>
        <w:t>A/1720/2015 -CS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