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DCSO/374/2018 vom 28. Juni 2018</w:t>
      </w:r>
    </w:p>
    <w:p>
      <w:r>
        <w:t>GE Cour de justice, 2018-06-28, FR</w:t>
      </w:r>
    </w:p>
    <w:p>
      <w:r>
        <w:rPr>
          <w:b/>
        </w:rPr>
        <w:t xml:space="preserve">Quelle: </w:t>
      </w:r>
      <w:r>
        <w:t>https://mcp.opencaselaw.ch/entscheid/ge_gerichte_DCSO_374_2018</w:t>
      </w:r>
    </w:p>
    <w:p>
      <w:r>
        <w:t>FR: GE_GERICHTE DCSO/374/2018 du 28 juin 2018</w:t>
      </w:r>
    </w:p>
    <w:p>
      <w:r>
        <w:t>IT: GE_GERICHTE DCSO/374/2018 del 28 giugno 2018</w:t>
      </w:r>
    </w:p>
    <w:p>
      <w:pPr>
        <w:pStyle w:val="Heading2"/>
      </w:pPr>
      <w:r>
        <w:t>Erwägungen</w:t>
      </w:r>
    </w:p>
    <w:p>
      <w:r>
        <w:rPr>
          <w:b/>
        </w:rPr>
        <w:t>E. 1</w:t>
      </w:r>
    </w:p>
    <w:p>
      <w:r>
        <w:t>La question de la recevabilité de la plainte peut rester ouverte au vu des considérants qui suivent.</w:t>
      </w:r>
    </w:p>
    <w:p>
      <w:r>
        <w:rPr>
          <w:b/>
        </w:rPr>
        <w:t>E. 2</w:t>
      </w:r>
    </w:p>
    <w:p>
      <w:r>
        <w:t>Le plaignant soutient que la mesure contestée serait nulle en raison des vices de forme dont elle serait selon lui affectée. Dans la mesure où l'avis daté du 8 janvier 2018 est effectivement parvenu à son destinataire, ce qui a permis à celui-ci de prendre connaissance de la décision de l'Office et de faire valoir ses droits, il importe peu que, par hypothèse, il ait été envoyé à une adresse ne correspondant pas au domicile du débiteur. L'art. 34 LP, qui régit la communication par l'Office de ses mesures et décisions, constitue en effet une simple prescription d'ordre; son éventuelle violation n'entraîne pas l'annulabilité de l'acte – et moins encore sa nullité – si le destinataire n'en subit aucun désavantage (arrêt du Tribunal fédéral 5A_408/2011 consid. 2.2), ce qui est le cas en l'espèce. La saisie s'exécute par l'avis donné au débiteur du fait qu'il lui est dorénavant interdit de disposer des biens saisis et du fait qu'il s'expose, s'il viole cette interdiction, aux sanctions pénales prévues à l'art. 169 CP (DE GOTTRAU, in CR LP, N 8 ad art. 96 LP et références citées). Cet avis n'a en principe pas à être motivé. S'agissant toutefois d'une saisie de gains, il doit être accompagné des documents permettant au débiteur de comprendre comment son minimum vital – et donc la quotité saisissable de ses revenus – a été calculé (ATF 100 III 12 consid. 2), leur absence pouvant conduire à l'annulation – et non la nullité – de l'exécution de la saisie. Il n'y a toutefois pas lieu en l'espèce d'examiner ce qu'il en aurait été dans le cas d'espèce, la plainte ayant en tout état perdu son objet. Enfin, il a été jugé que les décisions rendues par les autorités de poursuite, au contraire de celles prononcées par les autorités de surveillance (art. 20a al. 2 ch. 4 LP), n'ont pas à mentionner les voies de droit (arrêt du Tribunal fédéral 5A_124/2016 consid. 3.2 et références citées). Contrairement à l'opinion du plaignant, l'avis d'exécution de la saisie daté du 8 janvier 2018 n'était donc pas nul.</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2.2</w:t>
      </w:r>
    </w:p>
    <w:p>
      <w:r>
        <w:t>En l'occurrence, l'Office, après avoir une nouvelle fois entendu le plaignant, a rendu le 2 mars 2018, soit "jusqu'à l'envoi de sa réponse" au sens de l'art. 17 al. 4 LP, une nouvelle décision annulant la mesure attaquée et constatant</w:t>
      </w:r>
    </w:p>
    <w:p>
      <w:r>
        <w:t>- 4/5 -</w:t>
      </w:r>
    </w:p>
    <w:p>
      <w:r>
        <w:t>A/328/2018-CS l'insaisissabilité du plaignant. Cette nouvelle décision correspondant dans son résultat à ce que souhaitait ce dernier, la plainte est devenue sans objet, ce qui sera constaté.</w:t>
      </w:r>
    </w:p>
    <w:p>
      <w:r>
        <w:rPr>
          <w:b/>
        </w:rPr>
        <w:t>E. 3</w:t>
      </w:r>
    </w:p>
    <w:p>
      <w:r>
        <w:t>La procédure de plainte est gratuite (art. 20a al. 2 ch. 5 LP et art. 61 al. 2 let. a OELP) et il ne peut être alloué aucun dépens dans cette procédure (art. 62 al. 2 OELP). * * * * *</w:t>
      </w:r>
    </w:p>
    <w:p>
      <w:r>
        <w:t>- 5/5 -</w:t>
      </w:r>
    </w:p>
    <w:p>
      <w:r>
        <w:t>A/328/2018-CS PAR CES MOTIFS, La Chambre de surveillance : A la forme : Déclare recevable la plainte formée le 29 janvier 2018 par A______ contre l'avis d'exécution de la saisie daté du 8 janvier 2018 dans la série n° 3______. Au fond : Constate qu'elle est devenue sans objet. Raye en conséquence la cause du rôle. Siégeant : Monsieur Patrick CHENAUX, président; Monsieur Michel BERTSCHY et Monsieur Christian CHAVAZ,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