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DCSO/373/2012 vom 27. September 2012</w:t>
      </w:r>
    </w:p>
    <w:p>
      <w:r>
        <w:t>GE Cour de justice, 2012-09-27, FR</w:t>
      </w:r>
    </w:p>
    <w:p>
      <w:r>
        <w:rPr>
          <w:b/>
        </w:rPr>
        <w:t xml:space="preserve">Quelle: </w:t>
      </w:r>
      <w:r>
        <w:t>https://mcp.opencaselaw.ch/entscheid/ge_gerichte_DCSO_373_2012</w:t>
      </w:r>
    </w:p>
    <w:p>
      <w:r>
        <w:t>FR: GE_GERICHTE DCSO/373/2012 du 27 septembre 2012</w:t>
      </w:r>
    </w:p>
    <w:p>
      <w:r>
        <w:t>IT: GE_GERICHTE DCSO/373/2012 del 27 settembre 2012</w:t>
      </w:r>
    </w:p>
    <w:p>
      <w:pPr>
        <w:pStyle w:val="Heading2"/>
      </w:pPr>
      <w:r>
        <w:t>Regeste</w:t>
      </w:r>
    </w:p>
    <w:p>
      <w:r>
        <w:t>Résumé: La plaignante n'a pas produit la décision contestée. Courrier recommandé non retiré dans le délai de garde.</w:t>
      </w:r>
    </w:p>
    <w:p>
      <w:pPr>
        <w:pStyle w:val="Heading2"/>
      </w:pPr>
      <w:r>
        <w:t>Erwägungen</w:t>
      </w:r>
    </w:p>
    <w:p>
      <w:r>
        <w:rPr>
          <w:b/>
        </w:rPr>
        <w:t>E. 1</w:t>
      </w:r>
    </w:p>
    <w:p>
      <w:r>
        <w:t>LP).</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GILLIERON, Commentaire, ad art. 20a n° 9 ss et 147 ss; Flavio COMETTA/Urs Peter MÖCKLI, in SchKG I, 2ème éd., 2010, ad art. 20a n° 38 ss;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w:t>
      </w:r>
    </w:p>
    <w:p>
      <w:r>
        <w:t>- 3/4 -</w:t>
      </w:r>
    </w:p>
    <w:p>
      <w:r>
        <w:t>A/2676/2012-CS invoqués, des conclusions et la signature du plaignant (Antoine FAVRE, Droit des poursuites, 3ème éd., p. 70).</w:t>
      </w:r>
    </w:p>
    <w:p>
      <w:r>
        <w:t>A Genève, la procédure de plainte est régie par la LaLP (RS/GE E 3 60), laquelle renvoie pour le surplus, à son art. 9 al. 4, à la LPA (RS/GE E 5 10).</w:t>
      </w:r>
    </w:p>
    <w:p>
      <w:r>
        <w:t>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w:t>
      </w:r>
    </w:p>
    <w:p>
      <w:r>
        <w:rPr>
          <w:b/>
        </w:rPr>
        <w:t>E. 3</w:t>
      </w:r>
    </w:p>
    <w:p>
      <w:r>
        <w:t>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(ATF 127 I 31 consid. 2a/aa , ATF 117 III 4 consid. 2 ; ATF 5A_596/2008 du 10 décembre 2009).</w:t>
      </w:r>
    </w:p>
    <w:p>
      <w:r>
        <w:rPr>
          <w:b/>
        </w:rPr>
        <w:t>E. 4</w:t>
      </w:r>
    </w:p>
    <w:p>
      <w:r>
        <w:t>Dans le cas particulier, la Chambre de céans a, par courrier recommandé du</w:t>
      </w:r>
    </w:p>
    <w:p>
      <w:r>
        <w:rPr>
          <w:b/>
        </w:rPr>
        <w:t>E. 7</w:t>
      </w:r>
    </w:p>
    <w:p>
      <w:r>
        <w:t>septembre 2012, imparti à Mme B______ un délai au 19 septembre 2012 pour lui indiquer si son écrit du 28 août 2012 adressé au Ministère Public constituait une plainte, le cas échéant, pour produire l'acte attaqué, compléter la motivation de sa plainte et prendre des conclusions. L'intéressée, faute d'avoir retiré ce pli, n'a pas donné suite à cette injonction. Or, dans la mesure où elle avait écrit au Ministère Public et adressé copie de sa lettre à l'Office des poursuites, elle devait s'attendre à la communication d'un acte officiel, en l'occurrence de la Chambre de céans, autorité de surveillance de ce dernier. Sa plainte sera en conséquence déclarée irrecevable. 5. La présente décision est prise en application des art. 72 LPA et 9 al. 2 LaLP. Elle sera toutefois communiquée à l'Office des poursuites.</w:t>
      </w:r>
    </w:p>
    <w:p>
      <w:r>
        <w:t>* * * * *</w:t>
      </w:r>
    </w:p>
    <w:p>
      <w:r>
        <w:t>- 4/4 -</w:t>
      </w:r>
    </w:p>
    <w:p>
      <w:r>
        <w:t>A/2676/2012-CS</w:t>
      </w:r>
    </w:p>
    <w:p>
      <w:r>
        <w:t>PAR CES MOTIFS, La Chambre de surveillance : Déclare irrecevable l'acte formé le 28 août 2012 par Mme B______.</w:t>
      </w:r>
    </w:p>
    <w:p>
      <w:r>
        <w:t>Siégeant : Madame Ariane WEYENETH, présidente; Madame Valérie CARERA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