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DCSO/370/2020 vom 8. Oktober 2020</w:t>
      </w:r>
    </w:p>
    <w:p>
      <w:r>
        <w:t>GE Cour de justice, 2020-10-08, FR</w:t>
      </w:r>
    </w:p>
    <w:p>
      <w:r>
        <w:rPr>
          <w:b/>
        </w:rPr>
        <w:t xml:space="preserve">Quelle: </w:t>
      </w:r>
      <w:r>
        <w:t>https://mcp.opencaselaw.ch/entscheid/ge_gerichte_DCSO_370_2020</w:t>
      </w:r>
    </w:p>
    <w:p>
      <w:r>
        <w:t>FR: GE_GERICHTE DCSO/370/2020 du 8 octobre 2020</w:t>
      </w:r>
    </w:p>
    <w:p>
      <w:r>
        <w:t>IT: GE_GERICHTE DCSO/370/2020 del 8 ottobre 2020</w:t>
      </w:r>
    </w:p>
    <w:p>
      <w:pPr>
        <w:pStyle w:val="Heading2"/>
      </w:pPr>
      <w:r>
        <w:t>Regeste</w:t>
      </w:r>
    </w:p>
    <w:p>
      <w:r>
        <w:t>Résumé: Recours au TF interjeté le 22.10.2020 par la débitrice, rejeté par ATF du 16.03.2021 (5A_883/2020)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 par le préposé, un employé de l'Office ou la poste (art. 72 al. 1 LP). Il est attesté sur chaque exemplaire de l'acte par la personne qui procède à la notification le jour où elle a lieu et la personne à qui il a été remis (art. 72 al. 2 LP).</w:t>
      </w:r>
    </w:p>
    <w:p>
      <w:r>
        <w:rPr>
          <w:b/>
        </w:rPr>
        <w:t>E. 2.2</w:t>
      </w:r>
    </w:p>
    <w:p>
      <w:r>
        <w:t>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 Une connaissance suffisante du commandement de payer peut être retenue si le débiteur reçoit un acte de poursuite ultérieur, tel que la commination de faillite, qui lui permet de prendre connaissance des mêmes informations que celles figurant dans le commandement de payer, soit le montant de la poursuite, le titre et la cause de la créance invoquée et le délai d'opposition au commandement de payer, qui court dès ce moment (JEANNERET, LEMBO, Commentaire romand, Poursuite et faillite, 2005, n° 33 à 35 ad art. 64 LP; RUEDIN, op. cit., n° 9 ad art. 72 LP et les références citées).</w:t>
      </w:r>
    </w:p>
    <w:p>
      <w:r>
        <w:t>Il en va de même lorsque la notification du commandement de payer est effectuée en violation des règles sur le for de la poursuite (ATF 69 II 162 consid. 2b et les arrêts cités; pour la jurisprudence ultérieure, cf. parmi plusieurs : ATF 82 III 63</w:t>
      </w:r>
    </w:p>
    <w:p>
      <w:r>
        <w:t>- 5/8 -</w:t>
      </w:r>
    </w:p>
    <w:p>
      <w:r>
        <w:t>A/4321/2019-CS consid. 4; 83 II 41 consid. 5; 88 III 7 consid. 3; 96 III 89 consid. 2; arrêts du Tribunal fédéral 5A_333/2017 du 4 août 2017 consid. 3.2; 5A_489/2013 du 15 janvier 2014 consid. 1; 5A_362/2013 du 14 octobre 2013 consid. 3.2; 7B.132/2002 du 4 octobre 2002 consid. 1; 7B.271/2001 du 10 janvier 2002 consid. 2 pour une confirmation de la jurisprudence; GILLIÉRON, Commentaire de la loi fédérale sur la poursuite pour dettes et la faillite, n° 32 ad Remarques introductives: art. 46-55 LP).</w:t>
      </w:r>
    </w:p>
    <w:p>
      <w:r>
        <w:rPr>
          <w:b/>
        </w:rPr>
        <w:t>E. 2.3</w:t>
      </w:r>
    </w:p>
    <w:p>
      <w:r>
        <w:t>Le for ordinaire de la poursuite est au domicile du débiteur, respectivement au siège de la personne morale (art. 46 al. 1 et 2 LP), au moment de la notification du commandement de payer (arrêt du Tribunal fédéral 5A_5/2009 du 9 juillet 2009 consid. 3). Le débiteur domicilié à l'étranger, qui possède un établissement en Suisse peut y être poursuivi pour les dettes de celui-ci (art. 50 al. 1 LP).</w:t>
      </w:r>
    </w:p>
    <w:p>
      <w:r>
        <w:t>La notion d'établissement s'entend de tout lieu d'opérations où le débiteur exerce de façon non transitoire une activité économique avec des moyens humains, des biens et des services (SCHÜPBACH, Commentaire Romand, Poursuite et faillite,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JdT 1991 II p. 17; ATF 98 Ib 100 consid. 1c; Schmid, op. cit., n. 9 ad art. 50; GILLIÉRON, Commentaire de la loi fédérale sur la poursuite pour dettes et la faillite, n° 12 et 29 ss ad art. 50 LP).</w:t>
      </w:r>
    </w:p>
    <w:p>
      <w:r>
        <w:rPr>
          <w:b/>
        </w:rPr>
        <w:t>E. 2.4</w:t>
      </w:r>
    </w:p>
    <w:p>
      <w:r>
        <w:t>Une réquisition de poursuite doit satisfaire aux exigences prévues à l’art. 67 LP, à savoir énoncer notamment le nom et le domicile du débiteur et, le cas échéant, de son représentant (art. 67 al. 1 ch. 2 LP), soit, selon le formulaire officiel (Form. 1), son adresse exacte, c’est-à-dire une adresse où le commandement de payer peut être notifié, lieu qui ne doit d’ailleurs pas être confondu avec le lieu où le poursuivi domicilié à l’étranger possède un établissement en Suisse, à mentionner dans la réquisition de poursuite sous la rubrique « Autres observations » pour permettre à l’Office de vérifier sa compétence à raison du lieu (DCSO/6/2008 du 17 janvier 2008 ; GILLIÉRON, Commentaire de la loi fédérale sur la poursuite pour dettes et la faillite, n° 40 ad art. 67 LP). Ces mentions sont reprises dans le commandement de payer (art. 69 al. 2 ch. 1 LP).</w:t>
      </w:r>
    </w:p>
    <w:p>
      <w:r>
        <w:rPr>
          <w:b/>
        </w:rPr>
        <w:t>E. 2.5</w:t>
      </w:r>
    </w:p>
    <w:p>
      <w:r>
        <w:t>Lorsque la poursuite est dirigée contre une personne morale ou une société, les actes de poursuite sont notifiés à son représentant, à savoir, à un membre de l'administration ou du comité, à un directeur ou à un fondé de procuration s'il s'agit d'une société anonyme, d'une société en commandite par actions, d'une société à responsabilité limitée, d'une société coopérative ou d'une association inscrite au registre du commerce, au président de l'administration ou au gérant, s'il s'agit d'une autre personne morale, à l'associé gérant ou au fondé de procuration, s'il s'agit d'une société en nom collectif ou en commandite.</w:t>
      </w:r>
    </w:p>
    <w:p>
      <w:r>
        <w:t>- 6/8 -</w:t>
      </w:r>
    </w:p>
    <w:p>
      <w:r>
        <w:t>A/4321/2019-CS</w:t>
      </w:r>
    </w:p>
    <w:p>
      <w:r>
        <w:t>La notification à une société de domiciliation et la remise à des employés de cette dernière qui transmettent l'acte à l'organe de la société de domiciliation vaut notification valable à l'équivalent d'un fondé de procuration (arrêt du Tribunal fédéral du 7B.51/2002 du 22 mars 2002 consid. 2; ATF 120 III 64 consid. 3 = JdT 1997 II 26; ATF 119 III 57 = JdT 1995 II 137; SJ 2000 II p. 210).</w:t>
      </w:r>
    </w:p>
    <w:p>
      <w:r>
        <w:rPr>
          <w:b/>
        </w:rPr>
        <w:t>E. 2.6</w:t>
      </w:r>
    </w:p>
    <w:p>
      <w:r>
        <w:t>En l'espèce, il ressort de l'instruction de la cause que la débitrice se prévaut publiquement, sur son site internet, d'une adresse à Genève et de la présence d'"offices" dans le canton. Il apparaît qu'il s'agit d'une adresse de domiciliation auprès d'une société de service, ce qui est fréquent dans le domaine du négoce international où les sociétés n'ont souvent qu'une activité très restreinte ou virtuelle, pouvant s'exercer à distance, sans avoir besoin d'infrastructure lourde. Même si rien ne permet de constater clairement sa présence sur place, la débitrice y dispose d'un administrateur qui reçoit valablement les actes de poursuite selon les principes rappelés ci-dessus, que ce soit au titre d'organe de la débitrice ou d'organe de la société de domiciliation. Elle est en mesure de désigner rapidement, toujours à Genève, un avocat pour l'assister. Malgré un lien très ténu avec le canton, rien n'empêche l'existence d'un établissement y déployant une activité. Il n'est pas certain que la débitrice ait beaucoup plus d'activité dans les autres lieux cités sur sa page internet, notamment à Singapour. Le site internet permet même de considérer que Genève était l'épicentre de son activité, aussi faible fût-elle et malgré un siège formel à Singapore, puisque toutes les indications permettant de l'atteindre dirigeaient le public vers ce canton (courrier postal et courriel). La rapidité et la facilité avec laquelle son adresse postale a été déplacée à Dubaï est également un indice de la légèreté de son infrastructure, ce qui explique que l'on n'ait pas trouvé grand-chose à Genève. La Chambre de surveillance retient ainsi l'existence d'un établissement à Genève.</w:t>
      </w:r>
    </w:p>
    <w:p>
      <w:r>
        <w:t>La réquisition de poursuite et la notification du commandement de payer ont été valablement déposée, respectivement effectuée selon les principes rappelés plus haut. Formellement, le commandement de payer et sa notification sont donc valables et on ne saurait reprocher à l'Office d'avoir donné suite, ainsi qu'il l'a fait, à la réquisition de poursuite déposée par la créancière.</w:t>
      </w:r>
    </w:p>
    <w:p>
      <w:r>
        <w:t>Reste à déterminer si la poursuite a été valablement introduite à Genève en application de l'art. 50 LP sous l'angle du rattachement de la créance à l'établissement genevois. La créancière, invitée à s'exprimer, n'a donné aucune explication sur son choix d'agir en exécution forcée à Genève, alors que les contrats qui la lient à la débitrice ne mentionnent nulle part l'établissement situé dans ce canton, alors que la débitrice conteste tout lien de la créance en poursuite avec cet établissement. La débitrice ne s'est pas montrée plus loquace sur sa structure, se limitant à nier l'existence d'un établissement à Genève en lien avec le contrat dont est issu la créance en poursuite. La Chambre de surveillance retiendra néanmoins un lien de la créance en poursuite avec l'établissement genevois du fait que les indices réunis permettent de considérer que c'est essentiellement dans ce</w:t>
      </w:r>
    </w:p>
    <w:p>
      <w:r>
        <w:t>- 7/8 -</w:t>
      </w:r>
    </w:p>
    <w:p>
      <w:r>
        <w:t>A/4321/2019-CS lieu que la débitrice était active. Notamment le seul organe qui lui est connu (faute de production d'un extrait d'un quelconque registre d'incorporation) est domicilié, actif et atteignable à Genève. En outre, la créancière a son siège à Genève, ce qui permet de retenir que c'est sur le marché genevois du négoce international de matières premières que sont actives les deux parties au contrat litigieux et qu'elles l'ont certainement conclu. Le fait que ce contrat choisisse l'application du droit anglais et renvoie à des juridictions du Royaume-Uni pour trancher tout litige est courant dans le négoce de matières première et n'est pas un signe de rattachement pertinent permettant d'exclure l'implication de l'établissement genevois. Ni la débitrice, ni la requérante n'ont d'ailleurs vraisemblablement d'activité sur territoire britannique. De même, il n'est pas incohérent que le contrat mentionne les sièges formels des parties, même si c'est par le biais d'un établissement situé dans une autre juridiction qu'elles agissent. Sur la base des quelques éléments que les parties ont fournis, la Chambre de surveillance parvient à la conclusion que la créance en poursuite est bien rattachée à l'établissement genevois de la débitrice.</w:t>
      </w:r>
    </w:p>
    <w:p>
      <w:r>
        <w:rPr>
          <w:b/>
        </w:rPr>
        <w:t>E. 2.7</w:t>
      </w:r>
    </w:p>
    <w:p>
      <w:r>
        <w:t>En résumé, la Chambre de surveillance retient que la débitrice disposait d'un établissement à Genève et que la créance en poursuite était en lien avec cet établissement, à tout le moins au moment de la réquisition de poursuite et de la notification du commandement de payer. La réquisition de poursuite et le commandement de payer sont valides et la notification de ce dernier est conforme au droit.</w:t>
      </w:r>
    </w:p>
    <w:p>
      <w:r>
        <w:t>La plainte sera par conséquent rejetée.</w:t>
      </w:r>
    </w:p>
    <w:p>
      <w:r>
        <w:rPr>
          <w:b/>
        </w:rPr>
        <w:t>E. 3</w:t>
      </w:r>
    </w:p>
    <w:p>
      <w:r>
        <w:t>La procédure de plainte est gratuite (art. 20a al. 2 ch. 5 LP; art. 61 al. 2 let. a OELP) et ne donne pas lieu à l'allocation de dépens (art. 62 al. 2 OELP).</w:t>
      </w:r>
    </w:p>
    <w:p>
      <w:r>
        <w:t>* * * * *</w:t>
      </w:r>
    </w:p>
    <w:p>
      <w:r>
        <w:t>- 8/8 -</w:t>
      </w:r>
    </w:p>
    <w:p>
      <w:r>
        <w:t>A/4321/2019-CS PAR CES MOTIFS, La Chambre de surveillance : A la forme : Reçoit la plainte du 22 novembre 2019 formée par A______ LTD contre la notification du commandement de payer poursuite n° 8______. Au fond : La rejette. Déboute les parties de toutes autres conclusions. Siégeant : Monsieur Jean REYMOND, président; Madame Natalie OPPATJA et Monsieur Mathieu HOWALD, juges assesseurs ;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