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DCSO/365/2020 vom 8. Oktober 2020</w:t>
      </w:r>
    </w:p>
    <w:p>
      <w:r>
        <w:t>GE Cour de justice, 2020-10-08, FR</w:t>
      </w:r>
    </w:p>
    <w:p>
      <w:r>
        <w:rPr>
          <w:b/>
        </w:rPr>
        <w:t xml:space="preserve">Quelle: </w:t>
      </w:r>
      <w:r>
        <w:t>https://mcp.opencaselaw.ch/entscheid/ge_gerichte_DCSO_365_2020</w:t>
      </w:r>
    </w:p>
    <w:p>
      <w:r>
        <w:t>FR: GE_GERICHTE DCSO/365/2020 du 8 octobre 2020</w:t>
      </w:r>
    </w:p>
    <w:p>
      <w:r>
        <w:t>IT: GE_GERICHTE DCSO/365/2020 del 8 ottobre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JdT 1978 II 44; GILLIERON, Commentaire LP, n. 222-223 ad art. 17).</w:t>
      </w:r>
    </w:p>
    <w:p>
      <w:r>
        <w:rPr>
          <w:b/>
        </w:rPr>
        <w:t>E. 1.2</w:t>
      </w:r>
    </w:p>
    <w:p>
      <w:r>
        <w:t>En l'espèce, la plainte a été formée par le débiteur séquestré, dans les délai et forme prévus par la loi, à l'encontre du procès-verbal de séquestre du 25 mai 2020, soit une mesure de l'Office sujette à plainte. Elle est, dans cette mesure, recevable.</w:t>
      </w:r>
    </w:p>
    <w:p>
      <w:r>
        <w:rPr>
          <w:b/>
        </w:rPr>
        <w:t>E. 2</w:t>
      </w:r>
    </w:p>
    <w:p>
      <w:r>
        <w:t>LP; cf. infra consid. 2.1.6) et de ne pas séquestrer des biens dont le produit de réalisation prévisible ne dépasserait que dans une moindre mesure le montant des frais (art. 92 al. 2 LP) (STOFFEL/CHABLOZ, in CR LP, 2005, n. 13 ad art. 276 LP).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DCSO/232/2012 du 14 juin 2012 consid. 2.2; ATF 99 III 52 consid. 4b, JdT 1974 II 116). S'il existe une valeur de marché, c'est elle qui devra être retenue (GILLIERON, op. cit., n. 10 ss ad art. 97 LP; DE GOTTRAU, in CR LP, 2005, n. 6 ad art. 97 LP; ATF 99 III 52, JdT 1974 II 116; 101 III 32).</w:t>
      </w:r>
    </w:p>
    <w:p>
      <w:r>
        <w:t>- 7/10 -</w:t>
      </w:r>
    </w:p>
    <w:p>
      <w:r>
        <w:t>A/1592/2020-CS 2.1.3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consid. 2b à 2d) – de la dernière réalisation (art. 144 al. 4 LP; OCHSNER, Exécution du séquestre, in JT 2006 II 77, p. 111).</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GILLIERON, op. cit.,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 2.1.4 Aux termes de l'art. 91 al. 1 ch. 2 LP, le débiteur est tenu, sous menace des peines prévues par la loi, d'indiquer jusqu'à due concurrence tous les biens qui lui appartiennent, même ceux qui ne sont pas en sa possession, ainsi que ses créances et autres droits contre des tiers (art. 163 ch. 1 et 323 ch. 2 CP). L'art. 91 al. 4 LP prévoit que les tiers qui détiennent des biens du débiteur ou contre qui le débiteur a des créances ont, sous menace des peines prévues par la loi (art. 324 ch. 5 CP), la même obligation de renseigner que le débiteur. Selon la jurisprudence, l'obligation de renseigner de la banque détentrice des avoirs séquestrés ne naît qu'à la fin du délai d'opposition de l'art. 278 LP, ou, le</w:t>
      </w:r>
    </w:p>
    <w:p>
      <w:r>
        <w:t>- 8/10 -</w:t>
      </w:r>
    </w:p>
    <w:p>
      <w:r>
        <w:t>A/1592/2020-CS cas échéant, à l'issue de la procédure d'opposition (ATF 125 III 391 consid. 2; 131 III 660 consid. 4.4; arrêts du Tribunal fédéral 5A_858/2018 du 25 février 2019 consid. 2.3; 5A_407/2016 du 15 septembre 2016 consid. 3.1; 5A_761/2009 du 12 janvier 2010 consid. 3). 2.1.5 La question de savoir si le cumul de deux ou plusieurs séquestres consacre l'abus manifeste d'un droit ne peut être tranchée qu'a posteriori,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(ATF 120 III 42 consid. 5b). 2.2.1 En l'occurrence, le plaignant soutient que l'étendue du séquestre est excessive et que cette mesure de blocage doit se limiter à la moitié des actions I______ qu'il détient sur son compte n° 12______ auprès de E______. Ce faisant, le plaignant perd de vue qu'au jour du dépôt de sa plainte, il n'était pas possible pour l'Office de déterminer si le séquestre n° 17______ avait porté et, cas échéant, dans quelle mesure. Il ressort en effet des principes rappelés ci-avant que le devoir de renseigner des banques D______, E______ et F______ ne naîtra qu'une fois l'ordonnance de séquestre entrée en force. Or, il est constant que le plaignant a formé opposition au séquestre le 5 juin 2020 et que le Tribunal n'avait pas encore statué sur cette opposition lorsque les parties ont été avisées de la clôture de l'instruction de la présente cause. En outre, contrairement à ce que plaide le plaignant, il n'est nullement établi que le séquestre aurait porté sur son compte n°12______ auprès de E______. En effet, le seul document produit à cet égard – dont on ignore qui est l'auteur – n'est pas daté, de sorte qu'il ne permet de pas de déterminer quels avoirs se trouvaient sur ce compte lors de l'exécution du séquestre à début mai 2020. Ce document ne permet pas non plus d'établir la valeur des actions litigieuses (i.e. le produit prévisible de leur réalisation forcée), dont le cours n'a cessé de fluctuer durant le premier semestre 2020 (à noter qu'en tenant compte d'un prix unitaire de 13.50 EUR, la valeur des actions concernées peut être estimée à quelque 180'300 fr. [12'364 x 13.5 EUR; au taux en vigueur le 5 juin 2020, 1 EUR = 1.07995 fr.], ce qui ne suffit pas à couvrir la créance fondant le séquestre). Par ailleurs, faute pour le plaignant d'avoir spontanément renseigné l'Office sur la nature des avoirs séquestrés (respectivement d'avoir autorisé D______, E______ et F______ à renseigner utilement l'Office), l'ordre de la saisie n'a pas non plus pu être fixé conformément à l'art. 95 LP, étant précisé que le séquestre doit porter en premier lieu sur les biens meubles de valeur courante, facilement réalisables, de même que sur ceux dont le débiteur peut se passer plus aisément (cf. DE GOTTRAU, op. cit., n. 5 ss ad art. 95 LP).</w:t>
      </w:r>
    </w:p>
    <w:p>
      <w:r>
        <w:t>- 9/10 -</w:t>
      </w:r>
    </w:p>
    <w:p>
      <w:r>
        <w:t>A/1592/2020-CS 2.2.2 Il s'ensuit que la plainte est prématurée en tant qu'elle porte sur l'étendue potentiellement excessive de l'assiette du séquestre. Au surplus, le plaignant n'a soulevé aucun grief susceptible de justifier l'annulation partielle du procès-verbal de séquestre querellé. En définitive, la plainte sera rejetée dans la mesure de sa recevabilité.</w:t>
      </w:r>
    </w:p>
    <w:p>
      <w:r>
        <w:rPr>
          <w:b/>
        </w:rPr>
        <w:t>E. 3</w:t>
      </w:r>
    </w:p>
    <w:p>
      <w:r>
        <w:t>La procédure de plainte est gratuite (art. 20a al. 2 ch. 5 LP; 61 al. 2 let. a OELP) et ne donne pas lieu à l'allocation de dépens (art. 62 al. 2 OELP).</w:t>
      </w:r>
    </w:p>
    <w:p>
      <w:r>
        <w:t>* * * * *</w:t>
      </w:r>
    </w:p>
    <w:p>
      <w:r>
        <w:t>- 10/10 -</w:t>
      </w:r>
    </w:p>
    <w:p>
      <w:r>
        <w:t>A/1592/2020-CS PAR CES MOTIFS, La Chambre de surveillance : Rejette, dans la mesure de sa recevabilité, la plainte formée le 5 juin 2020 par A______ contre le procès-verbal de séquestre n° 17______. Siégeant : Madame Nathalie RAPP, présidente; Madame Natalie OPPATJA et Monsieur Mathieu HOWALD, juges assesseur(e)s;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