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DCSO/363/2016 vom 10. November 2016</w:t>
      </w:r>
    </w:p>
    <w:p>
      <w:r>
        <w:t>GE Cour de justice, 2016-11-10, FR</w:t>
      </w:r>
    </w:p>
    <w:p>
      <w:r>
        <w:rPr>
          <w:b/>
        </w:rPr>
        <w:t xml:space="preserve">Quelle: </w:t>
      </w:r>
      <w:r>
        <w:t>https://mcp.opencaselaw.ch/entscheid/ge_gerichte_DCSO_363_2016</w:t>
      </w:r>
    </w:p>
    <w:p>
      <w:r>
        <w:t>FR: GE_GERICHTE DCSO/363/2016 du 10 novembre 2016</w:t>
      </w:r>
    </w:p>
    <w:p>
      <w:r>
        <w:t>IT: GE_GERICHTE DCSO/363/2016 del 10 novembre 2016</w:t>
      </w:r>
    </w:p>
    <w:p>
      <w:pPr>
        <w:pStyle w:val="Heading2"/>
      </w:pPr>
      <w:r>
        <w:t>Regeste</w:t>
      </w:r>
    </w:p>
    <w:p>
      <w:r>
        <w:t>Résumé: Recours interjeté au TF le 25 novembre 2016 par le plaignant, partiellement admis par arrêt du 01.09.2017 (5A_910/2016).</w:t>
      </w:r>
    </w:p>
    <w:p>
      <w:pPr>
        <w:pStyle w:val="Heading2"/>
      </w:pPr>
      <w:r>
        <w:t>Erwägungen</w:t>
      </w:r>
    </w:p>
    <w:p>
      <w:r>
        <w:rPr>
          <w:b/>
        </w:rPr>
        <w:t>E. 1</w:t>
      </w:r>
    </w:p>
    <w:p>
      <w:r>
        <w:t>LaLP) contre des mesures de l'Office non attaquables par la voie judiciaire (art. 17 al. 1 LP). La plainte doit être déposée dans les dix jours suivant celui où le plaignant a eu connaissance de la décision attaquée (art. 17 al. 2 LP), selon la forme requise (art. 9 al. 1 LaLP). Elle est toutefois recevable en tout temps en cas de nullité de la mesure attaquée (art. 22 al. 1 LP).</w:t>
      </w:r>
    </w:p>
    <w:p>
      <w:r>
        <w:t>En l'espèce, la plainte a été déposée dans les dix jours suivant la réception de la décision de l'Office attaquée, de sorte qu'elle a été déposée en temps utile (art. 17 al. 2 LP) et répond aux exigences de forme légales (art. 9 al. 4 LaLP, art. 65 al. 1 et 2 LPA); elle est donc recevable.</w:t>
      </w:r>
    </w:p>
    <w:p>
      <w:r>
        <w:rPr>
          <w:b/>
        </w:rPr>
        <w:t>E. 2</w:t>
      </w:r>
    </w:p>
    <w:p>
      <w:r>
        <w:t>2.1.1 L'ordonnance de séquestre est rendue sur la base de la seule requête du créancier (art. 272 LP). Elle doit être entreprise par la voie de l'opposition (art. 278 al. 1 LP), dont le but est de permettre au juge de vérifier le bien-fondé du séquestre après avoir entendu le débiteur (ATF 142 III 291 consid. 2.1).</w:t>
      </w:r>
    </w:p>
    <w:p>
      <w:r>
        <w:t>Les griefs concernant les conditions de fond du séquestre, en particulier la propriété et la titularité des biens à séquestrer ainsi que l'abus de droit, doivent être soulevés dans la procédure d'opposition. Il en va de même du moyen tiré de l'interdiction du séquestre "investigatoire" (ATF 142 III 291 consid. 2.1 et les références citées; arrêts du Tribunal fédéral 5A_883/2012 du 18 janvier 2013 consid. 6.1.2 et 5A_812/2010 du 24 novembre 2011 consid. 3.2.1; GILLIERON, Commentaire LP, 2003, n. 132 ad art. 275 LP).</w:t>
      </w:r>
    </w:p>
    <w:p>
      <w:r>
        <w:t>2.1.2 L'office des poursuites exécute l'ordonnance de séquestre (art. 275 LP). Il est dressé procès-verbal du séquestre au pied de l'ordonnance. Le procès-verbal contient la désignation des objets et de leur valeur. Il est transmis immédiatement à l'office des poursuites (art. 276 al. 1 LP). La décision de l'office doit être entreprise par la voie de la plainte (art. 17 LP) auprès de l'autorité de surveillance (ATF 142 III 291 consid. 2.1).</w:t>
      </w:r>
    </w:p>
    <w:p>
      <w:r>
        <w:t>L'office des poursuites doit, sans se préoccuper des déclarations du débiteur poursuivi ou du tiers débiteur, saisir les créances dont le créancier poursuivant</w:t>
      </w:r>
    </w:p>
    <w:p>
      <w:r>
        <w:t>- 5/6 -</w:t>
      </w:r>
    </w:p>
    <w:p>
      <w:r>
        <w:t>A/2621/2016-CS allègue l'existence (ATF 120 III 18 consid. 4, 109 III 11 consid. 2; arrêts du Tribunal fédéral 7B.136/2006 du 18 décembre 2006 consid. 3.1 et 7B.220/2005 du 2 mars 2006 consid. 2.1). L'office peut obliger le tiers débiteur à se déterminer (art. 91 al. 4 LP). Il n'a toutefois pas la compétence pour se prononcer sur l'existence de la créance saisie. Tout au plus l'office a-t-il la compétence de se prononcer à cet égard lorsqu'il apparaît clairement que les prétendus droits à saisir sont en réalité inexistants. C'est l'affaire du créancier poursuivant d'établir par le moyen d'une action judiciaire que le débiteur est réellement titulaire des droits qu'il lui attribue. Mais ce n'est pas dans la procédure des art. 106 à 109 LP que cela doit être établi; le créancier devra, avant d'agir, se faire céder la créance conformément à l'art. 131 LP ou se la faire adjuger aux enchères publiques; tant qu'il ne l'aura pas fait, il n'aura pas le droit d'actionner le tiers débiteur pour faire constater la dette et, de son côté, l'office n'aura en aucune façon l'obligation d'ouvrir de lui-même action à cet effet (ATF 120 III 18 consid. 4, 109 III 11 consid. 2; arrêts du Tribunal fédéral 7B.136/2006 du 18 décembre 2006 consid. 3.1 et 7B.220/2005 du 2 mars 2006 consid. 2.1; STOFFEL/CHABLOZ, Commentaire romand, 2005, n. 26 ad art. 275 LP).</w:t>
      </w:r>
    </w:p>
    <w:p>
      <w:r>
        <w:rPr>
          <w:b/>
        </w:rPr>
        <w:t>E. 2.2</w:t>
      </w:r>
    </w:p>
    <w:p>
      <w:r>
        <w:t>En l'espèce et au vu de ce qui précède, il n'appartient ni à l'Office ni à l'autorité de surveillance de trancher la question de savoir si les comptes bancaires séquestrés appartiennent à leur titulaire formel, C______ Co., ou au plaignant, en vertu de leur identité économique. Cette question est du ressort du juge du séquestre et ne peut être examinée par la Chambre de céans. Elle a, au demeurant, déjà été analysée par le Tribunal, qui a considéré qu'en raison de l'identité économique entre le plaignant et C______ Co., la créancière avait rendu vraisemblable la titularité des biens dont le séquestre avait été requis.</w:t>
      </w:r>
    </w:p>
    <w:p>
      <w:r>
        <w:t>La créancière poursuit solidairement le plaignant et C______ Co. et le séquestre en cause n'est manifestement pas nul, l'ordonnance ne présentant aucune imprécision, lacune ni aucune autre cause de nullité.</w:t>
      </w:r>
    </w:p>
    <w:p>
      <w:r>
        <w:t>Le chef de conclusions du plaignant en délivrance d'un procès-verbal de non-lieu de séquestre est, dès lors, infondé.</w:t>
      </w:r>
    </w:p>
    <w:p>
      <w:r>
        <w:rPr>
          <w:b/>
        </w:rPr>
        <w:t>E. 3</w:t>
      </w:r>
    </w:p>
    <w:p>
      <w:r>
        <w:t>Selon l'art. 20a al. 2 2ème phrase LP, la partie ou son représentant qui use de procédés téméraires ou de mauvaise foi peut être condamné à une amende de 1'500 fr. au plus ainsi qu'au paiement des émoluments et des débours.</w:t>
      </w:r>
    </w:p>
    <w:p>
      <w:r>
        <w:t>En l'espèce, la plainte, manifestement infondée, ne justifie toutefois pas pour autant le prononcé d'une amende.</w:t>
      </w:r>
    </w:p>
    <w:p>
      <w:r>
        <w:rPr>
          <w:b/>
        </w:rPr>
        <w:t>E. 4</w:t>
      </w:r>
    </w:p>
    <w:p>
      <w:r>
        <w:t>La plainte est rejetée.</w:t>
      </w:r>
    </w:p>
    <w:p>
      <w:r>
        <w:rPr>
          <w:b/>
        </w:rPr>
        <w:t>E. 5</w:t>
      </w:r>
    </w:p>
    <w:p>
      <w:r>
        <w:t>La procédure de plainte est gratuite (art. 20a al. 2 ch. 5 LP et art. 61 al. 2 let. a OELP) et il ne peut être alloué aucun dépens (art. 62 al. 2 OELP).</w:t>
      </w:r>
    </w:p>
    <w:p>
      <w:r>
        <w:t>- 6/6 -</w:t>
      </w:r>
    </w:p>
    <w:p>
      <w:r>
        <w:t>A/2621/2016-CS</w:t>
      </w:r>
    </w:p>
    <w:p>
      <w:r>
        <w:t>PAR CES MOTIFS, La Chambre de surveillance : A la forme : Déclare recevable la plainte interjetée par A______ contre la décision de l'Office du 26 juillet 201613, séquestre no 14 xxxx40 T. Au fond : La rejette. Siégeant : Madame Florence KRAUSKOPF, présidente; Madame Natalie OPPATJA et Monsieur Denis KELLER,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