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DCSO/359/2021 vom 17. September 2021</w:t>
      </w:r>
    </w:p>
    <w:p>
      <w:r>
        <w:t>GE Cour de justice, 2021-09-17, FR</w:t>
      </w:r>
    </w:p>
    <w:p>
      <w:r>
        <w:rPr>
          <w:b/>
        </w:rPr>
        <w:t xml:space="preserve">Quelle: </w:t>
      </w:r>
      <w:r>
        <w:t>https://mcp.opencaselaw.ch/entscheid/ge_gerichte_DCSO_359_2021</w:t>
      </w:r>
    </w:p>
    <w:p>
      <w:r>
        <w:t>FR: GE_GERICHTE DCSO/359/2021 du 17 septembre 2021</w:t>
      </w:r>
    </w:p>
    <w:p>
      <w:r>
        <w:t>IT: GE_GERICHTE DCSO/359/2021 del 17 settembre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 procès-verbal de saisie, et par une partie lésée</w:t>
      </w:r>
    </w:p>
    <w:p>
      <w:r>
        <w:t>- 4/8 -</w:t>
      </w:r>
    </w:p>
    <w:p>
      <w:r>
        <w:t>A/4406/2020-CS dans ses intérêts (ATF 138 III 219 consid. 2.3; 129 III 595 consid. 3; 120 III 42 consid. 3), la plainte est recevable.</w:t>
      </w:r>
    </w:p>
    <w:p>
      <w:r>
        <w:rPr>
          <w:b/>
        </w:rPr>
        <w:t>E. 2</w:t>
      </w:r>
    </w:p>
    <w:p>
      <w:r>
        <w:t>2.1.1 La procédure de plainte est régie par la maxime inquisitoire et le principe de disposition. L'autorité de surveillance constate donc les faits d'office et, sous réserve d'un cas de nullité (art. 22 al. 1 LP), est liée par les conclusions des parties (art. 20a al. 2 ch. 3 LP; ATF 142 III 234 consid. 2.1).</w:t>
      </w:r>
    </w:p>
    <w:p>
      <w:r>
        <w:t>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(ATF 123 III 328 consid. 3; arrêt 5A_253/2015 du 9 juin 2015 consid. 4.1 et les autres références).</w:t>
      </w:r>
    </w:p>
    <w:p>
      <w:r>
        <w:t>2.1.2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p. 107 s.; arrêts du Tribunal fédéral 5A_57/2016 du 20 avril 2016, consid. 4.2; 5A_35/2015 du 13 janvier 2016 consid. 5.1).</w:t>
      </w:r>
    </w:p>
    <w:p>
      <w:r>
        <w:t>2.1.3 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in CR LP, n° 89 à 118 ad art. 92 LP).</w:t>
      </w:r>
    </w:p>
    <w:p>
      <w:r>
        <w:t>Parmi les critères à prendre en considération pour apprécier le caractère saisissable – ou pas – d'un véhicule, il y a l'accès au réseau de transports publics,</w:t>
      </w:r>
    </w:p>
    <w:p>
      <w:r>
        <w:t>- 5/8 -</w:t>
      </w:r>
    </w:p>
    <w:p>
      <w:r>
        <w:t>A/4406/2020-CS les horaires de travail du débiteur ainsi que son état de santé, mais aussi le rapport entre les coûts d'utilisation de la voiture et le rendement de la profession (KREN KOSTKIEWICZ, KUKO, n° 46 ad art. 92 LP; BlSchK 1984 67). Une vielle voiture, ayant parcouru 130'000 km, estimée à 500 fr. (en 1980) a été jugée insaisissable, dès lors que le débiteur en avait besoin pour se rendre sur un lieu de travail éloigné de son domicile et inaccessible en transports publics (BlSchK 1985, 68).</w:t>
      </w:r>
    </w:p>
    <w:p>
      <w:r>
        <w:rPr>
          <w:b/>
        </w:rPr>
        <w:t>E. 2.2</w:t>
      </w:r>
    </w:p>
    <w:p>
      <w:r>
        <w:t>En l'espèce, dans un premier moyen, la plaignante reproche à l'Office d'avoir saisi sa voiture.</w:t>
      </w:r>
    </w:p>
    <w:p>
      <w:r>
        <w:t>A cet égard, la Chambre de céans observe que la plaignante, qui réside à E______ et travaille au centre-ville de Genève, n'allègue ni ne rend vraisemblable qu'elle aurait besoin de la voiture pour se rendre sur son lieu de travail, étant observé que E______ est reliée à Genève par le train notamment, soit par les transports publics.</w:t>
      </w:r>
    </w:p>
    <w:p>
      <w:r>
        <w:t>La plaignante, qui soutient avoir besoin de la voiture pour un usage privé, ne fait pas non plus état des circonstances exceptionnelles qui rendraient le véhicule indispensable et donc insaisissable. En particulier, elle n'allègue pas qu'elle aurait besoin de la voiture pour qu'elle-même ou des membres de sa famille puissent suivre des traitements médicaux ou en raison d'une situation de handicap. La plaignante ne fournit aucune substance à l'allégation selon laquelle elle aurait besoin de sa voiture pour véhiculer ses enfants. Elle ne donne en particulier aucune indication concrète sur la fréquence, la nature et le lieu des activités exercées par les enfants ni sur les rendez-vous auxquels ils doivent se rendre, de sorte qu'il n'est pas possible de retenir qu'un déplacement en transports publics ne serait envisageable qu'au prix d'efforts disproportionnés.</w:t>
      </w:r>
    </w:p>
    <w:p>
      <w:r>
        <w:t>Eu égard à ces considérations, et quand bien la valeur de la voiture n'est pas très élevée, l'on ne saurait considérer que le véhicule de la plaignante lui est indispensable au sens de l'art. 92 al. 1 ch. 1 et 3 LP.</w:t>
      </w:r>
    </w:p>
    <w:p>
      <w:r>
        <w:t>En ce qui concerne l'allégation selon laquelle la voiture serait entretemps tombée en panne, la Chambre de céans relève d'une part que les faits doivent en principe être établis en se fondant sur les circonstances existant au moment de l'exécution de la saisie. D'autre part, la plaignante n'a fourni le moindre élément de preuve pour soutenir ses affirmations. En tout état, il n'y a pas au dossier d'éléments permettant de considérer que l'estimation de l'Office ne serait plus d'actualité.</w:t>
      </w:r>
    </w:p>
    <w:p>
      <w:r>
        <w:t>Mal fondée, la plainte sera rejetée sur ce point.</w:t>
      </w:r>
    </w:p>
    <w:p>
      <w:r>
        <w:rPr>
          <w:b/>
        </w:rPr>
        <w:t>E. 3</w:t>
      </w:r>
    </w:p>
    <w:p>
      <w:r>
        <w:t>3.1.1 Tous les revenus du travail peuvent être saisis, déduction faite de ce que le préposé estime indispensable à l'entretien du débiteur et de sa famille (art. 93 al. 1 LP). La notion de revenus du travail vise en premier lieu la créance salariale, actuelle et future, acquise par le débiteur à l'encontre de son employeur en contrepartie de l'activité qu'il déploie au service de ce dernier. Entrent dans cette créance le salaire de base, les primes, les participations au résultat, les gratifications et le treizième salaire (OCHSNER, op. cit., n° 20 ad art. 93 LP).</w:t>
      </w:r>
    </w:p>
    <w:p>
      <w:r>
        <w:t>- 6/8 -</w:t>
      </w:r>
    </w:p>
    <w:p>
      <w:r>
        <w:t>A/4406/2020-CS</w:t>
      </w:r>
    </w:p>
    <w:p>
      <w:r>
        <w:t>3.1.2 Selon l'art. 93 al. 2 LP, les revenus du travail peuvent être saisis pour un an au plus à compter de l'exécution de la saisie. Dans le contexte d'une saisie de salaire en mains de l'employeur, l'exécution de la saisie correspond concrètement à l'expédition par l'Office à l'employeur d'un avis au débiteur au sens de l'art. 99 LP, l'invitant à s'acquitter en ses mains de la quotité saisissable du salaire qu'il aura fixée (OCHSNER, op. cit., n° 186 ad art. 93 LP).</w:t>
      </w:r>
    </w:p>
    <w:p>
      <w:r>
        <w:t>3.1.3 Lorsque le salaire se compose pour partie de prestations versées irrégulièrement ou annuellement, telles le treizième salaire, la participation au résultat, la gratification, etc., elles ne doivent pas être intégrées pro rata temporis au revenu mensuel pris en compte pour fixer la quotité disponible du débiteur, ce qui conduirait à ne pas laisser à ce dernier le montant nécessaire pour assurer au jour le jour la couverture de ses charges incompressibles. Dans la mesure où le salaire annuel total du débiteur est supérieur à son minimum vital annuel, elles doivent toutefois être saisies au titre de salaire futur : la saisie prend alors effet au moment du paiement effectif de la prestation par l'employeur (ATF 71 III 60; VONDER MÜHLL, in BAK SchKG I, 2010, N 4 ad art. 93 LP; KREN KOSTKIEWICZ, in KUKO SchKG, N 7 ad art. 93 LP).</w:t>
      </w:r>
    </w:p>
    <w:p>
      <w:r>
        <w:t>3.1.4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décision de la chambre de surveillance DCSO/243/2015 du 20 août 2015 consid. 2.2 et 2.3).</w:t>
      </w:r>
    </w:p>
    <w:p>
      <w:r>
        <w:rPr>
          <w:b/>
        </w:rPr>
        <w:t>E. 3.2</w:t>
      </w:r>
    </w:p>
    <w:p>
      <w:r>
        <w:t>En l'espèce, dans le cadre du calcul du minimum vital auquel il s'est livré pour établir le procès-verbal de saisie daté du 17 décembre 2020, l'Office a retenu que la débitrice réalisait un revenu mensuel de 5'551 fr. 75 (hors treizième salaire et gratifications éventuelles), composé d'un salaire de 5'360 fr. 10, auquel s'ajoutait une indemnité de 191 fr. 65 pour une activité de conseillère communale.</w:t>
      </w:r>
    </w:p>
    <w:p>
      <w:r>
        <w:t>La poursuivie conteste ce calcul et fait valoir que la rémunération de la Commune de E______ s'est montée en 2020 à 1'838 fr., soit un montant mensuel de 153 fr., ce qui correspond au certificat de salaire produit. Les revenus mensuels de la plaignante s'élèvent donc à 5'513 fr. 10.</w:t>
      </w:r>
    </w:p>
    <w:p>
      <w:r>
        <w:t>La plaignante n'a formulé aucune critique dans sa plainte concernant les montants retenus par l'Office dans le calcul de ses charges, en particulier à l'égard des frais du ménage admis, en 762 fr. 40, selon le calcul de l'Office du 22 décembre 2020, lequel a repris pour l'essentiel le calcul joint au procès-verbal de saisie attaqué. Il en résulte que les charges de la plaignante sont composées de l'entretien de base</w:t>
      </w:r>
    </w:p>
    <w:p>
      <w:r>
        <w:t>- 7/8 -</w:t>
      </w:r>
    </w:p>
    <w:p>
      <w:r>
        <w:t>A/4406/2020-CS en 1'700 fr. pour un couple, 400 fr. de frais d'entretien pour les deux enfants (soit [2 x 600 fr.] de forfait d'entretien – [2 x 400 fr.] d'allocations familiales), 762 fr. 40 de frais du ménage, 1'755 fr. de loyer, ainsi que 1088 fr. 70 concernant des frais relatifs au conjoint et aux enfants. Aussi, il convient de confirmer le montant des charges retenu par l'Office, en 5'706 fr. 10.</w:t>
      </w:r>
    </w:p>
    <w:p>
      <w:r>
        <w:t>Les critiques adressées par la poursuivante à l'égard des charges admises par l'Office, formulées par écriture du 23 juin 2021, sont irrecevables, dans la mesure où celle-ci n'a pas formé plainte contre le procès-verbal de saisie du 17 décembre 2020.</w:t>
      </w:r>
    </w:p>
    <w:p>
      <w:r>
        <w:t>La plaignante présente ainsi un déficit mensuel de 193 fr. (5'513 fr. 10 – 5'706 fr. 10), correspondant à un déficit annuel de 2'316 fr.</w:t>
      </w:r>
    </w:p>
    <w:p>
      <w:r>
        <w:t>La plaignante ne conteste pas avoir perçu un treizième salaire en décembre 2020, ainsi qu'un bonus (de 4'000 fr. bruts selon le certificat de salaire, correspondant à un montant arrondi de 3'500 fr. après déduction des charges sociales obligatoires), soit un montant supplémentaire de 8'860 fr. 10 (5'360 fr. 10 + 3'500 fr.), auxquels s'ajoutent 2'000 fr. perçus au mois de mars 2021 de D______, soit des revenus totaux supplémentaires de 10'860 fr. 10 (5'360 fr. 10 + 3'500 fr. + 2'000 fr.).</w:t>
      </w:r>
    </w:p>
    <w:p>
      <w:r>
        <w:t>Après déduction de 2'316 fr. (déficit annuel), c'est un montant arrondi de 8'544 fr. qui peut être saisi au cours de la période considérée, qui s'étend de septembre 2020 à septembre 2021.</w:t>
      </w:r>
    </w:p>
    <w:p>
      <w:r>
        <w:t>En résumé, c'est à juste titre que l'Office a fait porter la saisie sur la part du treizième salaire et des gratifications perçues par la débitrice et excédant son minimum vital annuel.</w:t>
      </w:r>
    </w:p>
    <w:p>
      <w:r>
        <w:t>Au cours de la série considérée, l'Office a saisi un montant total de 12'577 fr. 37 (cf. PV d'audience du 25 mai 2021 et tableau joint à la détermination de l'Office du 7 juin 2021). Dans la mesure où la saisie a débuté le 2 septembre 2020, le montant de 283 fr. saisi au mois d'août 2020 doit être restitué à la plaignante. Sur le solde de 12'294 fr. 37 (12'577 fr. 37 – 283 fr.) saisi, l'Office est en droit de conserver la quotité saisissable annuelle, qui s'élève à 8'544 fr.</w:t>
      </w:r>
    </w:p>
    <w:p>
      <w:r>
        <w:t>C'est ainsi un montant de 3'750 fr. 37 (12'294 fr. 37 – 8'544 fr.) qui doit être restitué à la plaignante en plus des 283 fr. saisis au mois d'août, soit un total arrondi de 4'033 fr. 40.</w:t>
      </w:r>
    </w:p>
    <w:p>
      <w:r>
        <w:t>Dans cette mesure, la plainte sera admise.</w:t>
      </w:r>
    </w:p>
    <w:p>
      <w:r>
        <w:rPr>
          <w:b/>
        </w:rPr>
        <w:t>E. 4</w:t>
      </w:r>
    </w:p>
    <w:p>
      <w:r>
        <w:t>La procédure de plainte est gratuite (art. 20a al. 2 ch. 5 LP; art. 61 al. 2 let. a OELP) et ne donne pas lieu à l'allocation de dépens (art. 62 al. 2 OELP). * * * * *</w:t>
      </w:r>
    </w:p>
    <w:p>
      <w:r>
        <w:t>- 8/8 -</w:t>
      </w:r>
    </w:p>
    <w:p>
      <w:r>
        <w:t>A/4406/2020-CS PAR CES MOTIFS, La Chambre de surveillance : A la forme : Déclare recevable la plainte formée le 28 décembre 2020 par A______ contre le procès- verbal de saisie, série n° 2______, daté du 17 décembre 2020. Au fond : L'admet très partiellement dans le sens des considérations de la présente décision. Invite l'Office cantonal des poursuites à restituer à A______ la somme de 4'033 fr. 40. Rejette la plainte pour le surplus. Siégeant : Madame Verena PEDRAZZINI RIZZI, présidente; Madame Natalie OPPATJA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