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DCSO/357/2020 vom 8. Oktober 2020</w:t>
      </w:r>
    </w:p>
    <w:p>
      <w:r>
        <w:t>GE Cour de justice, 2020-10-08, FR</w:t>
      </w:r>
    </w:p>
    <w:p>
      <w:r>
        <w:rPr>
          <w:b/>
        </w:rPr>
        <w:t xml:space="preserve">Quelle: </w:t>
      </w:r>
      <w:r>
        <w:t>https://mcp.opencaselaw.ch/entscheid/ge_gerichte_DCSO_357_2020</w:t>
      </w:r>
    </w:p>
    <w:p>
      <w:r>
        <w:t>FR: GE_GERICHTE DCSO/357/2020 du 8 octobre 2020</w:t>
      </w:r>
    </w:p>
    <w:p>
      <w:r>
        <w:t>IT: GE_GERICHTE DCSO/357/2020 del 8 ottobre 2020</w:t>
      </w:r>
    </w:p>
    <w:p>
      <w:pPr>
        <w:pStyle w:val="Heading2"/>
      </w:pPr>
      <w:r>
        <w:t>Erwägungen</w:t>
      </w:r>
    </w:p>
    <w:p>
      <w:r>
        <w:rPr>
          <w:b/>
        </w:rPr>
        <w:t>E. 1</w:t>
      </w:r>
    </w:p>
    <w:p>
      <w:r>
        <w:t>La plainte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sujette à plainte (TSCHUMY, in CR LP, 2005, n. 7 ad art. 107 LP et n. 3 ad art. 108 LP), soit la décision de l'Office fixant le rôle des parties dans la procédure en revendication.</w:t>
      </w:r>
    </w:p>
    <w:p>
      <w:r>
        <w:rPr>
          <w:b/>
        </w:rPr>
        <w:t>E. 2</w:t>
      </w:r>
    </w:p>
    <w:p>
      <w:r>
        <w:t>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w:t>
      </w:r>
    </w:p>
    <w:p>
      <w:r>
        <w:t>L'engagement de la procédure de revendication prévue par les art. 106 ss. LP suppose donc une déclaration, qui peut émaner du tiers revendiquant mais également du débiteur lui-même (ATF 136 III 437 consid. 4.2; TSCHUMY, op. cit. n. 6 et 9 ad art. 106 LP). Cette déclaration doit permettre d'identifier la poursuite concernée, le revendiquant, l'élément du patrimoine saisi revendiqué et le droit invoqué par le revendiquant (TSCHUMY, op. cit., n. 11 ad art. 106 LP).</w:t>
      </w:r>
    </w:p>
    <w:p>
      <w:r>
        <w:t>2.1.2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w:t>
      </w:r>
    </w:p>
    <w:p>
      <w:r>
        <w:t>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w:t>
      </w:r>
    </w:p>
    <w:p>
      <w:r>
        <w:t>- 4/5 -</w:t>
      </w:r>
    </w:p>
    <w:p>
      <w:r>
        <w:t>A/1392/2020-CS</w:t>
      </w:r>
    </w:p>
    <w:p>
      <w:r>
        <w:t>Lorsque le débiteur et le tiers revendiquant paraissent avoir la même maîtrise du bien saisi, c'est la procédure prévue par l'art. 108 LP, évoquant le cas de la copossession, qui doit trouver application, au bénéfice du tiers revendiquant (STAEHELIN, in SchKG II, n. 15 ad art. 107 LP et la jurisprudence citée).</w:t>
      </w:r>
    </w:p>
    <w:p>
      <w:r>
        <w:t>2.1.3 Si le bien ne se trouve en la possession ni du débiteur, ni du tiers revendiquant, mais en celle d'une quatrième personne - le quart détenteur -, le rôle des parties dépend de la question de savoir pour le compte de qui possède le quart détenteur : si c'est pour le compte exclusif du débiteur, il appartient alors au tiers revendiquant d'ouvrir action; si le quart détenteur possède pour son propre compte, ou conjointement avec le débiteur, ou encore pour le compte du tiers revendiquant et du débiteur, il incombe alors au créancier d'agir (ATF 123 III 367 consid. 3b; 121 III 85 consid. 2a; 120 III 83 consid. 3a; arrêt 7B_105/2006 du 13 octobre 2006, consid. 2.1; TSCHUMY, op. cit., n. 6 ad art. 107 LP; GILLIÉRON, Commentaire LP, n. 212 ad art. 106 LP);</w:t>
      </w:r>
    </w:p>
    <w:p>
      <w:r>
        <w:t>2.1.4 Les autorités de poursuite doivent uniquement résoudre la question du meilleur droit apparent, c'est-à-dire déterminer qui peut disposer matériellement de la chose; elles n'ont pas à se demander si cet état de fait est conforme ou non au droit (ATF 123 III 367 consid. 3b).</w:t>
      </w:r>
    </w:p>
    <w:p>
      <w:r>
        <w:rPr>
          <w:b/>
        </w:rPr>
        <w:t>E. 2.2</w:t>
      </w:r>
    </w:p>
    <w:p>
      <w:r>
        <w:t>En l'espèce, il résulte des pièces fournies par la plaignante, en particulier d'une attestation de l'administrateur de D______, que cette dernière détient le tableau séquestré, entreposé auprès de E______ SA, pour le compte de la débitrice.</w:t>
      </w:r>
    </w:p>
    <w:p>
      <w:r>
        <w:t>Ni l'Office, ni le tiers revendiquant ne le contestent, la débitrice, bien que dûment interpellée, ne s'étant pas déterminée à cet égard.</w:t>
      </w:r>
    </w:p>
    <w:p>
      <w:r>
        <w:t>Partant, dans la mesure où il apparait que le bien séquestré est détenu par un quart détenteur pour le compte exclusif de la débitrice, il appartient au tiers revendiquant d'ouvrir action, en application de l'art. 107 LP.</w:t>
      </w:r>
    </w:p>
    <w:p>
      <w:r>
        <w:t>Il suit de là que la plainte est fondée. La décision attaquée sera en conséquence annulée et l'Office invité à procéder selon l'art. 107 LP.</w:t>
      </w:r>
    </w:p>
    <w:p>
      <w:r>
        <w:rPr>
          <w:b/>
        </w:rPr>
        <w:t>E. 3</w:t>
      </w:r>
    </w:p>
    <w:p>
      <w:r>
        <w:t>La procédure de plainte est gratuite (art. 20a al. 2 ch. 5 LP et art. 61 al. 2 let. a OELP) et il ne peut être alloué de dépens (art. 62 al. 2 OELP). * * * * *</w:t>
      </w:r>
    </w:p>
    <w:p>
      <w:r>
        <w:t>- 5/5 -</w:t>
      </w:r>
    </w:p>
    <w:p>
      <w:r>
        <w:t>A/1392/2020-CS PAR CES MOTIFS, La Chambre de surveillance : A la forme : Déclare recevable la plainte formée le 14 mai 2020 par A______ contre la décision de l'Office cantonal des poursuites du 4 mai 2020 dans le cadre du séquestre n° 2______. Au fond : L'admet et annule la décision entreprise. Invite l'Office à procéder conformément au considérant 2.2 de la présente décision. Siégeant : Madame Verena PEDRAZZINI RIZZI, présidente; Madame Natalie OPPATJA et Monsieur Mathieu HOWALD,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