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DCSO/356/2017 vom 29. Juni 2017</w:t>
      </w:r>
    </w:p>
    <w:p>
      <w:r>
        <w:t>GE Cour de justice, 2017-06-29, FR</w:t>
      </w:r>
    </w:p>
    <w:p>
      <w:r>
        <w:rPr>
          <w:b/>
        </w:rPr>
        <w:t xml:space="preserve">Quelle: </w:t>
      </w:r>
      <w:r>
        <w:t>https://mcp.opencaselaw.ch/entscheid/ge_gerichte_DCSO_356_2017</w:t>
      </w:r>
    </w:p>
    <w:p>
      <w:r>
        <w:t>FR: GE_GERICHTE DCSO/356/2017 du 29 juin 2017</w:t>
      </w:r>
    </w:p>
    <w:p>
      <w:r>
        <w:t>IT: GE_GERICHTE DCSO/356/2017 del 29 giugno 2017</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de l’Office non attaquables par la voie judiciaire (art. 17 al. 1 LP), telles que l'acte de défaut de biens.</w:t>
      </w:r>
    </w:p>
    <w:p>
      <w:r>
        <w:t>- 4/9 -</w:t>
      </w:r>
    </w:p>
    <w:p>
      <w:r>
        <w:t>A/731/2017-CS Déposées dans les dix jours suivant la réception des actes de défaut de biens critiqués et selon la forme prescrite (art. 9 al. 1 LaLP et art. 65 al. 1 et 2 LPA applicable par renvoi de l'art. 9 al. 4 LaLP), la présente plainte est recevable.</w:t>
      </w:r>
    </w:p>
    <w:p>
      <w:r>
        <w:rPr>
          <w:b/>
        </w:rPr>
        <w:t>E. 2.1</w:t>
      </w:r>
    </w:p>
    <w:p>
      <w:r>
        <w:t>En matière de saisie, l'obligation essentielle de l'Office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2ème édition, 2014, Hunkeler [éd.], n° 14 ad art. 91 LP).</w:t>
      </w:r>
    </w:p>
    <w:p>
      <w:r>
        <w:rPr>
          <w:b/>
        </w:rPr>
        <w:t>E. 2.2</w:t>
      </w:r>
    </w:p>
    <w:p>
      <w:r>
        <w:t>Dans le cas d'espèce, l'Office a expliqué dans ses observations du 16 mars 2017 au sujet de la présente plainte avoir dûment interrogé le débiteur et avoir obtenu de ce dernier les justificatifs probants et corroborant ses dires, énumérés supra sous litt. C.b., sur lesquels ledit Office s'était fondé pour établir les actes de défaut de biens litigieux. Il ressort de ce qui précède que l'Office ne s'est ainsi pas contenté des éléments fournis oralement par le débiteur en vue de l’exécution de la saisie, lors de son audition du 27 janvier 2017, mais qu’il a réclamé les justificatifs correspondants corroborant les déclarations du débiteur. Au vu de ce qui précède, le premier grief soulevé par la plaignante sera rejeté.</w:t>
      </w:r>
    </w:p>
    <w:p>
      <w:r>
        <w:rPr>
          <w:b/>
        </w:rPr>
        <w:t>E. 3</w:t>
      </w:r>
    </w:p>
    <w:p>
      <w:r>
        <w:t>La plaignante conteste par ailleurs, en tant qu’ils ne seraient pas démontrés par pièces, l’admission par l’Office dans les charges mensuelles du débiteur des frais de repas en 242 fr. ainsi que des frais "divers" s'élevant à 650 fr. pour la "nounou" et à 226 fr. pour le "parascolaire/cuisine scolaire, enfant".</w:t>
      </w:r>
    </w:p>
    <w:p>
      <w:r>
        <w:t>- 5/9 -</w:t>
      </w:r>
    </w:p>
    <w:p>
      <w:r>
        <w:t>A/731/2017-CS</w:t>
      </w:r>
    </w:p>
    <w:p>
      <w:r>
        <w:rPr>
          <w:b/>
        </w:rPr>
        <w:t>E. 3.1</w:t>
      </w:r>
    </w:p>
    <w:p>
      <w:r>
        <w:t>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une question d'appréciation et doit être appréciée en fonction des circonstances de fait existant lors de l’exécution de la saisie (ATF 108 III 10 consid. 4; 115 III 103, JdT 1991 II 108 consid. 1c; arrêt du Tribunal fédéral 7B.200/2003 consid. 4). Selon les normes d'insaisissabilité, il convient d'ajouter à la base d'entretien mensuelle (ch. I; soit 1'350 fr. pour un débiteur monoparental),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La prise en compte, au titre de dépenses nécessaires à l'entretien du débiteur et de sa famille, des frais de crèche ou de délégation de la prise en charge d'un enfant en bas âge, ne peut éventuellement se justifier que sous l'angle des dépenses indispensables à l'exercice d'une profession (ch. II.4 des Normes d'insaisissabilité). Il s'agira alors d'examiner si la délégation à un tiers de la prise en charge de l'enfant est nécessaire à l'exercice par le débiteur, ou par d'autres personnes partageant son ménage, de l'exercice d'une activité professionnelle et s'il n'existe pas d'autres solutions de prise en charge gratuites ou moins coûteuses (DCSO/236/2010 consid. 3a; DCSO/84/2005 consid. 3b). Cette condition ne sera de manière générale pas réalisée si cette garde peut être assurée sans frais ou à moindres frais par des membres de la famille proche, des mamans de jour ou toute autre solution disponible. Elle ne sera pas non plus réalisée si, par exemple, le débiteur travaille à temps partiel et à domicile, dès lors que l'on peut alors attendre de sa part qu'il organise son emploi du temps de manière à prendre soin personnellement de l'enfant en bas âge dont il aurait la charge (DCSO/124/2015 consid. 2.3)</w:t>
      </w:r>
    </w:p>
    <w:p>
      <w:r>
        <w:rPr>
          <w:b/>
        </w:rPr>
        <w:t>E. 3.2</w:t>
      </w:r>
    </w:p>
    <w:p>
      <w:r>
        <w:t>Selon son certificat de salaire de l'année 2016, le salaire net moyen du débiteur s'élève à 51'858 fr.50, soit à 4'321 fr. 55 net par mois.</w:t>
      </w:r>
    </w:p>
    <w:p>
      <w:r>
        <w:t>- 6/9 -</w:t>
      </w:r>
    </w:p>
    <w:p>
      <w:r>
        <w:t>A/731/2017-CS En sus de ce montant, le débiteur perçoit également 300 fr. d'allocations familiales par mois pour son enfant âgé de 6 ans, dont il a la garde, soit un revenu disponible total de 4621 fr. 55. 3.3.1 En déduction de ce revenu, la plaignante ne conteste pas la prise en compte par l'Office du montant de la pension alimentaire versée par le débiteur à la mère de son fils (100 fr.), de la prime d'assurance maladie de l'enfant (116 fr.), de la prime d'assurance maladie du débiteur (546 fr.), des frais de transport du débiteur (70 fr.), et du loyer de ce dernier (1'501 fr.). Doivent également être pris en compte l’entretien mensuel de base applicable à un débiteur monoparental, s'élevant à 1'350 fr. selon les normes d'insaisissabilité (ch. I) et non à 1'200 fr., tel que retenu à tort par l'Office, de même que celui du fils dudit débiteur, âgé de 6 ans, en 400 fr., sans prise en compte d’une majoration de 20 % sur ces entretiens de base, laquelle augmentation ne trouve aucune justification juridique dans le cas d’espèce. 3.3.2 L'Office a en outre admis dans les charges du débiteur des frais de repas pris à l'extérieur de son domicile en 242 fr. par mois, en tant qu’il s’agissait-là d’une dépense indispensable à l'exercice de sa profession alors que ces frais de repas ne lui étaient pas remboursés par son employeur. Toutefois, aucune des pièces produites ne démontre la réalité de ce qui précède, de sorte que la Chambre de surveillance n’admettra pas ces frais de repas dans les charges du débiteur. 3.3.3 En ce qui concerne les frais de garde, il n'est pas contesté que le débiteur exerce une activité à temps plein et que la garde de son fils mineur lui a été confiée, par jugement sur mesures protectrices de l’union conjugale. Ce jugement prévoit toutefois un droit de visite de la mère de l’enfant, aujourd’hui scolarisé, à raison du mardi matin au vendredi midi chaque semaine, soit pendant 3,5 jours ainsi qu’un dimanche sur deux. Les quittances de la nourrice produites par le défendeur, s'élevant à 650 fr., font, quant à elle, état d'un taux d'activité d'"environ 40 heures par semaine" pour s'occuper de l'enfant du débiteur. Toutefois, même à considérer que le débiteur n'a pas d'autre choix, afin d'exercer son activité professionnelle, que de laisser son fils à une nourrice lorsque l’enfant est auprès de lui au cours de la semaine, il n’en reste pas moins que les frais de garde correspondant ne couvrent qu’un jour et demi hebdomadaire, soit 12h, dont le coût, au regard de 650 fr. pour 40h x 4 correspond à 195 fr. par mois pour 48h (12h x 4).</w:t>
      </w:r>
    </w:p>
    <w:p>
      <w:r>
        <w:t>- 7/9 -</w:t>
      </w:r>
    </w:p>
    <w:p>
      <w:r>
        <w:t>A/731/2017-CS 3.3.4 Enfin, ressortent clairement des pièces produites par le débiteur et l’Office dans le cadre de la présente plainte que les frais de parascolaire ainsi que de cuisine scolaire de l’enfant D______, âgé de 6 ans, s’élèvent à 226 fr. par mois (cuisines scolaires : 300 fr. par trimestre). 3.3.5 Au vu de ce qui précède, les charges incompressibles mensuelles du débiteur seront arrêtées à 4'504 fr. (100 fr. + 116 fr. + 546 fr. + 70 fr. + 1'501 fr. + 195 fr. + 226 fr. + 1'350 fr. + 400 fr.). Compte tenu de son revenu net mensuel de 4621 fr. 55, la quotité saisissable en mains du débiteur est de 117 fr. par mois (4'621 fr. – 4504 fr.).</w:t>
      </w:r>
    </w:p>
    <w:p>
      <w:r>
        <w:rPr>
          <w:b/>
        </w:rPr>
        <w:t>E. 3.4</w:t>
      </w:r>
    </w:p>
    <w:p>
      <w:r>
        <w:t>La plainte du créancier sera donc admise, les actes de défauts de biens litigieux annulés et l’Office invité à établir un procès-verbal de saisie du salaire du débiteur portant sur 117 fr. par mois.</w:t>
      </w:r>
    </w:p>
    <w:p>
      <w:r>
        <w:rPr>
          <w:b/>
        </w:rPr>
        <w:t>E. 4</w:t>
      </w:r>
    </w:p>
    <w:p>
      <w:r>
        <w:t>La procédure de plainte est gratuite, et il ne peut être alloué aucun dépens (art. 20a al. 2 ch. 5 LP et 62 al. 2 OELP). * * * * *</w:t>
      </w:r>
    </w:p>
    <w:p>
      <w:r>
        <w:t>- 8/9 -</w:t>
      </w:r>
    </w:p>
    <w:p>
      <w:r>
        <w:t>A/731/2017-CS PAR CES MOTIFS, La Chambre de surveillance : A la forme : Déclare recevable la plainte formée le 1er mars 2017 par A______ SA à l'encontre des procès-verbaux de saisie n° 16 xxxx18 R et n° 16 xxxx94 J, valant actes de défaut de biens, établis par l'Office des poursuites le 16 février 2017 à l’encontre de B______. Au fond : Admet cette plainte. Annule en conséquence les procès-verbaux de saisie n° 16 xxxx18 R et n° 16 xxxx94 J, valant actes de défaut de biens établis à l’encontre de B______ le 16 février 2017. Invite l'Office des poursuites à établir un procès-verbal de saisie portant sur 117 fr. par mois à l’encontre de B______ dans le cadre des deux poursuites précitées. Déboute les parties de toutes autres conclusions. Siégeant : Madame Valérie LAEMMEL-JUILLARD, présidente; Messieurs Michel BERTSCHY et Mathieu HOWALD, juges assesseurs; Madame Marie NIERMARECHAL, greffière.</w:t>
      </w:r>
    </w:p>
    <w:p>
      <w:r>
        <w:t>La présidente : Valérie LAEMMEL-JUILLARD</w:t>
      </w:r>
    </w:p>
    <w:p>
      <w:r>
        <w:t>La greffière : Marie NIERMARECHAL</w:t>
      </w:r>
    </w:p>
    <w:p>
      <w:r>
        <w:t>- 9/9 -</w:t>
      </w:r>
    </w:p>
    <w:p>
      <w:r>
        <w:t>A/731/2017-CS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