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DCSO/355/2020 vom 10. Mai 2019</w:t>
      </w:r>
    </w:p>
    <w:p>
      <w:r>
        <w:t>GE Cour de justice, 2019-05-10, FR</w:t>
      </w:r>
    </w:p>
    <w:p>
      <w:r>
        <w:rPr>
          <w:b/>
        </w:rPr>
        <w:t xml:space="preserve">Quelle: </w:t>
      </w:r>
      <w:r>
        <w:t>https://mcp.opencaselaw.ch/entscheid/ge_gerichte_DCSO_355_2020</w:t>
      </w:r>
    </w:p>
    <w:p>
      <w:r>
        <w:t>FR: GE_GERICHTE DCSO/355/2020 du 10 mai 2019</w:t>
      </w:r>
    </w:p>
    <w:p>
      <w:r>
        <w:t>IT: GE_GERICHTE DCSO/355/2020 del 10 maggio 2019</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tel le procès-verbal de saisie.</w:t>
      </w:r>
    </w:p>
    <w:p>
      <w:r>
        <w:rPr>
          <w:b/>
        </w:rPr>
        <w:t>E. 2</w:t>
      </w:r>
    </w:p>
    <w:p>
      <w:r>
        <w:t>2.1.1 L'autorité de surveillance constate les faits d'office, apprécie librement les preuves et ne peut, sous réserve de l'art. 22 LP, aller au-delà des conclusions des parties (art. 20a al. 2 ch. 2 et 3 LP).</w:t>
      </w:r>
    </w:p>
    <w:p>
      <w:r>
        <w:t>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t>2.1.2 Conformément à l'obligation de renseignement qui lui incombe en vertu de l'art. 91 al. 1 ch. 2 LP, le débiteur doit fournir à l'office des poursuites toutes les informations et pièces permettant à celui-ci de calculer son minimum d'existence au sens de l'art. 93 al. 1 LP. Cette obligation doit être remplie au moment de l'exécution de la saisie déjà, et non au stade de la procédure de plainte (ATF 119 III 70 consid. 1; MÜHLL, BSK SchKG I, n. 65 ad art. 93 LP).</w:t>
      </w:r>
    </w:p>
    <w:p>
      <w:r>
        <w:t>2.2.1 Selon l'art. 93 al. 1 LP, les revenus relativement saisissables tels que les revenus du travail ne peuvent être saisis que déduction faite de ce que le préposé estime indispensable au débiteur et à sa famille (minimum vital). Cette disposition</w:t>
      </w:r>
    </w:p>
    <w:p>
      <w:r>
        <w:t>- 4/7 -</w:t>
      </w:r>
    </w:p>
    <w:p>
      <w:r>
        <w:t>A/1612/2020-CS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en vigueur lors de l'exécution de la saisie (ci-après : NI-2020;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les frais de vêtement, les soins corporels et de santé, les assurances privées, les frais culturels, etc. D'autres charges indispensables, comme les frais de logement (art. II.1 et II.3 NI-2020) ou les primes d'assurance-maladie obligatoire (art. II.3 NI-2020), doivent être ajoutés à cette base mensuelle d'entretien, pour autant qu'elles soient effectivement payées (Ochsner, in CR-LP, n° 82 ad art. 93 LP). Les impôts ne constituent pas des charges indispensables au sens de l'art. 93 al. 1 LP et ne peuvent en conséquence être pris en compte pour déterminer la quotité saisissable des revenus du débiteur (ATF 140 III 337 consid. 4.4).</w:t>
      </w:r>
    </w:p>
    <w:p>
      <w:r>
        <w:t>2.2.2 Selon l'art. 92 al. 1 ch. 9a LP, les rentes versées au titre de l'Assurance vieillesse et survivants sont insaisissables. L'art. 93 al. 1 LP prévoit en revanche que les rentes versées par des institutions de prévoyance professionnelle peuvent être saisies, déduction faite de ce que l'Office estime indispensable au débiteur et à sa famille (minimum vital) (ATF 120 III 71 consid. 4).</w:t>
      </w:r>
    </w:p>
    <w:p>
      <w:r>
        <w:t>- 5/7 -</w:t>
      </w:r>
    </w:p>
    <w:p>
      <w:r>
        <w:t>A/1612/2020-CS</w:t>
      </w:r>
    </w:p>
    <w:p>
      <w:r>
        <w:t>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 135 III 20 consid. 5.1).</w:t>
      </w:r>
    </w:p>
    <w:p>
      <w:r>
        <w:t>2.2.3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(ATF 114 II 12 consid. 3; arrêts du Tribunal fédéral 6B_390/2011 du 6 octobre 2011 consid. 3 et 7B_240/2001 du 18 décembre 2001; DCSO/210/2012 du 31 mai 2012 consid. 6.1).</w:t>
      </w:r>
    </w:p>
    <w:p>
      <w:r>
        <w:rPr>
          <w:b/>
        </w:rPr>
        <w:t>E. 2.3</w:t>
      </w:r>
    </w:p>
    <w:p>
      <w:r>
        <w:t>Dans le cas d'espèce, c'est à juste titre que l'Office a tenu compte dans son calcul du minimum vital des revenus du couple, composés de la rente de 2ème pilier du plaignant et des rentes AVS des deux conjoints, quand bien même celles-ci sont insaisissables.</w:t>
      </w:r>
    </w:p>
    <w:p>
      <w:r>
        <w:t>Le plaignant ne formule aucune critique à cet égard et les montants retenus sont conformes aux pièces du dossier. Pour ce qui est des charges, l'Office a pris en considération les charges du ménage, soit le minimum vital pour un couple, le loyer, les primes d'assurance-maladie des conjoints, leurs frais médicaux non couverts et leurs frais de transport, pour un total de 4'587 fr. 90.</w:t>
      </w:r>
    </w:p>
    <w:p>
      <w:r>
        <w:t>Le plaignant ne soutient pas que d'autres charges auraient dû être intégrées à ce calcul et ne fournit aucun élément à cet égard. Sa critique selon laquelle l'Office n'aurait admis que 1'801 fr. de dépenses mensuelles est du reste infondée.</w:t>
      </w:r>
    </w:p>
    <w:p>
      <w:r>
        <w:t>Conformément à la jurisprudence rappelée ci-dessus, le calcul de la quotité saisissable du plaignant se détermine ainsi comme suit :</w:t>
      </w:r>
    </w:p>
    <w:p>
      <w:r>
        <w:t>Revenus du poursuivi : 7'107 fr. 05 (5'337 fr. 05 + 1'770 fr.)</w:t>
      </w:r>
    </w:p>
    <w:p>
      <w:r>
        <w:t>Revenus du conjoint : 1'665 fr.</w:t>
      </w:r>
    </w:p>
    <w:p>
      <w:r>
        <w:t>___________________________</w:t>
      </w:r>
    </w:p>
    <w:p>
      <w:r>
        <w:t>Total revenus 8'772 fr. 05</w:t>
      </w:r>
    </w:p>
    <w:p>
      <w:r>
        <w:t>- 6/7 -</w:t>
      </w:r>
    </w:p>
    <w:p>
      <w:r>
        <w:t>A/1612/2020-CS</w:t>
      </w:r>
    </w:p>
    <w:p>
      <w:r>
        <w:t>Montant de base pour un couple : 1'700 fr.</w:t>
      </w:r>
    </w:p>
    <w:p>
      <w:r>
        <w:t>Loyer</w:t>
      </w:r>
    </w:p>
    <w:p>
      <w:r>
        <w:t>1'376 fr.</w:t>
      </w:r>
    </w:p>
    <w:p>
      <w:r>
        <w:t>Assurance-maladie</w:t>
      </w:r>
    </w:p>
    <w:p>
      <w:r>
        <w:t>1'071 fr. 90 (514 fr. + 557 fr. 90)</w:t>
      </w:r>
    </w:p>
    <w:p>
      <w:r>
        <w:t>Frais médicaux</w:t>
      </w:r>
    </w:p>
    <w:p>
      <w:r>
        <w:t>350 fr. (200 fr. + 150 fr.)</w:t>
      </w:r>
    </w:p>
    <w:p>
      <w:r>
        <w:t>Frais de transport</w:t>
      </w:r>
    </w:p>
    <w:p>
      <w:r>
        <w:t>90 fr. (45 fr. + 45 fr.)</w:t>
      </w:r>
    </w:p>
    <w:p>
      <w:r>
        <w:t>________________________________________</w:t>
      </w:r>
    </w:p>
    <w:p>
      <w:r>
        <w:t>Minimum vital du couple:</w:t>
      </w:r>
    </w:p>
    <w:p>
      <w:r>
        <w:t>4'587 fr. 90</w:t>
      </w:r>
    </w:p>
    <w:p>
      <w:r>
        <w:t>Le minimum vital du poursuivi se détermine selon le calcul suivant : 4'587 fr. 90 x 7'107 fr. 05 / 8'772 fr. 05 = 3'717 fr. 10 (arrondi).</w:t>
      </w:r>
    </w:p>
    <w:p>
      <w:r>
        <w:t>La quotité saisissable résulte de la soustraction du minimum vital ainsi établi du revenu du plaignant, soit 7'107 fr. 05 - 3'717 fr. 10 = 3'389 fr. 95.</w:t>
      </w:r>
    </w:p>
    <w:p>
      <w:r>
        <w:t>Le calcul de l'Office, qui a fixé la quotité saisissable à 3'800 fr. n'est ainsi pas critiquable.</w:t>
      </w:r>
    </w:p>
    <w:p>
      <w:r>
        <w:t>Mal fondée, la plainte sera rejetée.</w:t>
      </w:r>
    </w:p>
    <w:p>
      <w:r>
        <w:rPr>
          <w:b/>
        </w:rPr>
        <w:t>E. 3</w:t>
      </w:r>
    </w:p>
    <w:p>
      <w:r>
        <w:t>La procédure de plainte est gratuite (art. 20a al. 2 ch. 5 LP et art. 61 al. 2 let. a OELP). * * * * *</w:t>
      </w:r>
    </w:p>
    <w:p>
      <w:r>
        <w:t>- 7/7 -</w:t>
      </w:r>
    </w:p>
    <w:p>
      <w:r>
        <w:t>A/1612/2020-CS PAR CES MOTIFS, La Chambre de surveillance : A la forme : Déclare recevable la plainte formée le 8 juin 2020 par A______ contre le procès-verbal de saisie, série n. 2______. Au fond : La rejette. Siégeant : Madame Verena PEDRAZZINI RIZZI, présidente; Madame Natalie OPPATJA et Monsieur Mathieu HOWALD,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