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DCSO/354/2017 vom 29. Juni 2017</w:t>
      </w:r>
    </w:p>
    <w:p>
      <w:r>
        <w:t>GE Cour de justice, 2017-06-29, FR</w:t>
      </w:r>
    </w:p>
    <w:p>
      <w:r>
        <w:rPr>
          <w:b/>
        </w:rPr>
        <w:t xml:space="preserve">Quelle: </w:t>
      </w:r>
      <w:r>
        <w:t>https://mcp.opencaselaw.ch/entscheid/ge_gerichte_DCSO_354_2017</w:t>
      </w:r>
    </w:p>
    <w:p>
      <w:r>
        <w:t>FR: GE_GERICHTE DCSO/354/2017 du 29 juin 2017</w:t>
      </w:r>
    </w:p>
    <w:p>
      <w:r>
        <w:t>IT: GE_GERICHTE DCSO/354/2017 del 29 giugno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3ème éd., p. 70).</w:t>
      </w:r>
    </w:p>
    <w:p>
      <w:r>
        <w:t>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w:t>
      </w:r>
    </w:p>
    <w:p>
      <w:r>
        <w:t>- 3/4 -</w:t>
      </w:r>
    </w:p>
    <w:p>
      <w:r>
        <w:t>A/1194/2017-CS par ailleurs que les plaintes, ne serait-ce qu’implicitement, désignent la mesure attaquée et comportent les conclusions du plaignant (art. 65 al. 1 LPA).</w:t>
      </w:r>
    </w:p>
    <w:p>
      <w:r>
        <w:t>A défaut, l’autorité de surveillance doit impartir au plaignant un bref délai pour satisfaire à tout ou partie de ces exigences, sous peine d’irrecevabilité (art. 9 al. 2 LaLP et art. 65 al. 2 LPA).</w:t>
      </w:r>
    </w:p>
    <w:p>
      <w:r>
        <w:rPr>
          <w:b/>
        </w:rPr>
        <w:t>E. 2.2</w:t>
      </w:r>
    </w:p>
    <w:p>
      <w:r>
        <w:t>En l'espèce, la Chambre de surveillance a, par courrier recommandé du</w:t>
      </w:r>
    </w:p>
    <w:p>
      <w:r>
        <w:rPr>
          <w:b/>
        </w:rPr>
        <w:t>E. 5</w:t>
      </w:r>
    </w:p>
    <w:p>
      <w:r>
        <w:t>avril 2017, imparti à la plaignante un délai au 26 avril 2017 pour confirmer que son pli expédié le 30 mars 2017 était bien à considérer comme une plainte, et, dans ce cas, pour en préciser la motivation, déposer l’acte attaqué, et formuler des conclusions.</w:t>
      </w:r>
    </w:p>
    <w:p>
      <w:r>
        <w:t>La plaignante n’ayant toutefois fourni aucune des explications requises, il est impossible pour la Chambre de surveillance de statuer valablement au sujet de la teneur de son courrier du 30 mars 2017 en toute connaissance de cause, à supposer que ce pli doive être considéré comme une plainte.</w:t>
      </w:r>
    </w:p>
    <w:p>
      <w:r>
        <w:t>Si tel est le cas, cette plainte sera dès lors déclarée irrecevable en tant que de besoin. 3. Il n’est pas perçu de dépens (art. 62 OELP). * * * * *</w:t>
      </w:r>
    </w:p>
    <w:p>
      <w:r>
        <w:t>- 4/4 -</w:t>
      </w:r>
    </w:p>
    <w:p>
      <w:r>
        <w:t>A/1194/2017-CS PAR CES MOTIFS, La Chambre de surveillance : Déclare irrecevable, en tant que de besoin, la plainte A/1194/2017 formée le 30 mars 2017 par A______. Siégeant : Madame Valérie LAEMMEL-JUILLARD, présidente; Messieurs Michel BERTSCHY et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