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DCSO/353/2020 vom 8. Oktober 2020</w:t>
      </w:r>
    </w:p>
    <w:p>
      <w:r>
        <w:t>GE Cour de justice, 2020-10-08, FR</w:t>
      </w:r>
    </w:p>
    <w:p>
      <w:r>
        <w:rPr>
          <w:b/>
        </w:rPr>
        <w:t xml:space="preserve">Quelle: </w:t>
      </w:r>
      <w:r>
        <w:t>https://mcp.opencaselaw.ch/entscheid/ge_gerichte_DCSO_353_2020</w:t>
      </w:r>
    </w:p>
    <w:p>
      <w:r>
        <w:t>FR: GE_GERICHTE DCSO/353/2020 du 8 octobre 2020</w:t>
      </w:r>
    </w:p>
    <w:p>
      <w:r>
        <w:t>IT: GE_GERICHTE DCSO/353/2020 del 8 ottobre 2020</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en appliquant par analogie les art. 91 à 109 LP relatifs à la saisie (art. 275 LP). Sa décision doit être entreprise par la voie de la plainte (art. 17 LP) auprès de l'autorité de surveillance (ATF 142 III 291 consid. 2.1 et les références citées). Les griefs concernant les conditions de fond du séquestre doivent être soulevés dans la procédure d'opposition et ceux concernant l'exécution du séquestre dans la procédure de plainte.</w:t>
      </w:r>
    </w:p>
    <w:p>
      <w:r>
        <w:t>2.1.2 Selon la jurisprudence relative à l'art. 99 LP, l'office des poursuites doit, sans se préoccuper des déclarations du débiteur séquestré ou du tiers débiteur, mettre sous main de justice les créances dont le créancier séquestrant allègue l'existence, alors même que le tiers débiteur nierait l'existence d'une dette à sa charge, soit parce qu'elle n'aurait jamais existé, soit parce qu'elle aurait été éteinte; l'office peut obliger le tiers débiteur à se déterminer (art. 91 al. 4 LP, par renvoi de l'art. 275 LP), mais il n'a pas la compétence pour se prononcer sur l'existence de la créance séquestrée, sous réserve du cas où il apparaît clairement que les prétendus droits à séquestrer n'existent pas. Il incombera ensuite au créancier séquestrant d'établir par la voie judiciaire que le débiteur séquestré est réellement titulaire du droit qu'il lui attribue; avant d'agir, il devra se faire céder la créance, conformément à l'art. 131 LP, ou se la faire adjuger aux enchères publiques (ATF 109 III 11 consid. 2 et la jurisprudence citée; arrêt du Tribunal fédéral 5A_472/2013 du 21 août 2013 consid. 4.1, avec d'autres citations).</w:t>
      </w:r>
    </w:p>
    <w:p>
      <w:r>
        <w:t>2.1.3 Sont saisissables les créances appartenant au débiteur (art. 95 et 99 LP), même si elles sont contestées dans leur existence ou leur montant ou non encore exigibles (arrêt du Tribunal fédéral 5A_328/2013 du 4 novembre 2013).</w:t>
      </w:r>
    </w:p>
    <w:p>
      <w:r>
        <w:t>Il en va ainsi des revenus du travail, qui comprennent aussi le salaire futur, le 13ème salaire, la participation au résultat, la provision et la gratification, soit des créances futures sur lesquelles la saisie produit ses effets dès qu'elles sont</w:t>
      </w:r>
    </w:p>
    <w:p>
      <w:r>
        <w:t>- 5/7 -</w:t>
      </w:r>
    </w:p>
    <w:p>
      <w:r>
        <w:t>A/3982/2019-CS effectivement versées, de sorte que l'employeur devra s'exécuter en mains de l'office au moment où il verse la somme en question. Est également saisissable la part de liquidation dans une succession déjà ouverte mais pas encore partagée, au motif qu'elle représente une valeur patrimoniale attribuable à l'héritier.</w:t>
      </w:r>
    </w:p>
    <w:p>
      <w:r>
        <w:t>La question de savoir si les créances soumises à une condition suspensive, pour lesquelles le principe même de l'obligation du débiteur et non seulement la date de son exécution, n'est pas encore certain, est controversée (arrêt du Tribunal fédéral 5A_328/2013 du 4 novembre 2013 consid. 5.4.2).</w:t>
      </w:r>
    </w:p>
    <w:p>
      <w:r>
        <w:t>2.2.1. Les rentes découlant de la loi fédérale sur l’assurance-vieillesse et survivants du 20 décembre 1946 (LAVS - RS 831.10) sont insaisissables (art. 92 al. 1 ch. 9a LP) tout comme les droits aux prestations de prévoyance et de libre passage non encore exigibles à l'égard d'une institution de prévoyance professionnelle (art. 92 al. 1 ch. 10 LP).</w:t>
      </w:r>
    </w:p>
    <w:p>
      <w:r>
        <w:t>L’insaisissabilité absolue vaut pour la prévoyance professionnelle obligatoire, mais aussi pour celle qui se situe en deçà ou au-delà du régime obligatoire (MCF : FF 1991 III 94). Il en est de même des prestations du 3ème pilier A, qui ont pour but de compléter, voire de remplacer celles du 2ème pilier-</w:t>
      </w:r>
    </w:p>
    <w:p>
      <w:r>
        <w:t>Toutefois, les prestations de la prévoyance professionnelle ne sont absolument insaisissables qu'avant l'événement qui leur donne naissance.</w:t>
      </w:r>
    </w:p>
    <w:p>
      <w:r>
        <w:t>Une fois l'évènement assuré survenu, les prestations de la prévoyance, qu'elles soient versées sous forme de rente périodique ou d'indemnité en capital, sont en revanche partiellement saisissables (art. 93 LP), indépendamment du fait qu'elles sont perçues en raison de l'âge, pour cause de mort ou d'invalidité.</w:t>
      </w:r>
    </w:p>
    <w:p>
      <w:r>
        <w:t>2.2.2. Est exigible ce qui peut être aussitôt exigé, ce qui est dû sans terme ni condition. Il en est ainsi d'une créance ou d'une dette dont le paiement peut être immédiatement réclamé, au besoin en justice, sans attendre l'échéance d'un terme ou l'avènement d'une condition (ATF 119 III 18 cons. 3c).</w:t>
      </w:r>
    </w:p>
    <w:p>
      <w:r>
        <w:t>Lorsque l'exigibilité dépend d'un acte formateur de la part de l'assuré, soit une demande de l'ayant droit, l'exigibilité dépend de cet acte. Le fait qu'une demande soit indispensable pour le versement d'une prestation implique qu'avant que celle- ci soit présentée, la créance n'est pas exigible, et donc non saisissable (ATF 119 III 18).</w:t>
      </w:r>
    </w:p>
    <w:p>
      <w:r>
        <w:t>En règle générale, les prestations de prévoyance au sens de la LPP sont exigibles dès l'avènement de l'événement générateur de prestations (âge, décès ou invalidité; cf LORANDI, Pfändbarkeit und Arrestierbarkeit von Leistungen der zweiten Säule, in PJA 1997 p. 1171 ss, p. 1172). Il en va autrement d'une demande de paiement en espèces d'une prestation de libre passage, lorsqu'un assuré quitte</w:t>
      </w:r>
    </w:p>
    <w:p>
      <w:r>
        <w:t>- 6/7 -</w:t>
      </w:r>
    </w:p>
    <w:p>
      <w:r>
        <w:t>A/3982/2019-CS l'institution de prévoyance avant un cas de prévoyance, un tel versement supposant un acte formateur de la part de l'assuré.</w:t>
      </w:r>
    </w:p>
    <w:p>
      <w:r>
        <w:rPr>
          <w:b/>
        </w:rPr>
        <w:t>E. 2.3</w:t>
      </w:r>
    </w:p>
    <w:p>
      <w:r>
        <w:t>En l'espèce, le séquestre ordonné par le juge civil n'a pas été frappé d'opposition.</w:t>
      </w:r>
    </w:p>
    <w:p>
      <w:r>
        <w:t>La créance est par ailleurs plausible et n’apparaît pas clairement inexistante, de sorte que le fait que le poursuivi l'ait contestée n'est en soi pas décisif. Le versement des prestations de retraite semble du reste dépendre, d'après les indications de l'intimé, de l'âge et de la présentation d'une demande.</w:t>
      </w:r>
    </w:p>
    <w:p>
      <w:r>
        <w:t>La Chambre de céans considère qu'il se justifie de traiter les prestations de retraite du régime de F______, en partie comme le pendant de la rente AVS (1er pilier), absolument insaisissable, et en partie comme le pendant de la rente de prévoyance professionnelle (2ème pilier), qui n'est relativement saisissable qu'à compter de son exigibilité. Il n'est toutefois pas nécessaire de déterminer quelle est la part relativement saisissable, vu ce qui suit. Au moment où le procès-verbal de non-lieu de séquestre a été dressé, le débiteur avait certes atteint l'âge normal de la retraite selon les statuts de la E______, qui est de 62 ans dans son cas. Toutefois, d'après les explications qu'il a fournies, corroborées par l'attestation de la E______ et l'art. 30 des statuts, la pension n'était pas exigible, le poursuivi ayant exercé le droit à obtenir ses prestations de retraite de manière différée, soit trois ans plus tard. Il s'ensuit que la partie de la prestation de retraite de l'intimé correspondant à une prestation de 2ème pilier n'était pas saisissable au moment du séquestre, de sorte que c'est à juste titre que l'Office a rendu une décision de non-lieu de séquestre. La plainte sera ainsi rejetée.</w:t>
      </w:r>
    </w:p>
    <w:p>
      <w:r>
        <w:rPr>
          <w:b/>
        </w:rPr>
        <w:t>E. 3</w:t>
      </w:r>
    </w:p>
    <w:p>
      <w:r>
        <w:t>La procédure de plainte est gratuite (art. 20a al. 2 ch. 5 LP; 61 al. 2 let. a OELP) et il ne peut être alloué aucuns dépens dans cette procédure (art. 62 al. 2 OELP). * * * * *</w:t>
      </w:r>
    </w:p>
    <w:p>
      <w:r>
        <w:t>- 7/7 -</w:t>
      </w:r>
    </w:p>
    <w:p>
      <w:r>
        <w:t>A/3982/2019-CS PAR CES MOTIFS, La Chambre de surveillance : A la forme : Déclare recevable la plainte formée le 28 octobre 2019 par A______ contre le procès- verbal de non-lieu de séquestre n° 2______. Au fond : La rejette. Siégeant : Madame Verena PEDRAZZINI RIZZI, présidente; Madame Natalie OPPATJA et Monsieur Mathieu HOWALD,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