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DCSO/352/2018 vom 14. Juni 2018</w:t>
      </w:r>
    </w:p>
    <w:p>
      <w:r>
        <w:t>GE Cour de justice, 2018-06-14, FR</w:t>
      </w:r>
    </w:p>
    <w:p>
      <w:r>
        <w:rPr>
          <w:b/>
        </w:rPr>
        <w:t xml:space="preserve">Quelle: </w:t>
      </w:r>
      <w:r>
        <w:t>https://mcp.opencaselaw.ch/entscheid/ge_gerichte_DCSO_352_2018</w:t>
      </w:r>
    </w:p>
    <w:p>
      <w:r>
        <w:t>FR: GE_GERICHTE DCSO/352/2018 du 14 juin 2018</w:t>
      </w:r>
    </w:p>
    <w:p>
      <w:r>
        <w:t>IT: GE_GERICHTE DCSO/352/2018 del 14 giugno 2018</w:t>
      </w:r>
    </w:p>
    <w:p>
      <w:pPr>
        <w:pStyle w:val="Heading2"/>
      </w:pPr>
      <w:r>
        <w:t>Regeste</w:t>
      </w:r>
    </w:p>
    <w:p>
      <w:r>
        <w:t>Résumé: Nullité de la poursuite pour abus de droit.</w:t>
      </w:r>
    </w:p>
    <w:p>
      <w:pPr>
        <w:pStyle w:val="Heading2"/>
      </w:pPr>
      <w:r>
        <w:t>Erwägungen</w:t>
      </w:r>
    </w:p>
    <w:p>
      <w:r>
        <w:rPr>
          <w:b/>
        </w:rPr>
        <w:t>E. 1.1</w:t>
      </w:r>
    </w:p>
    <w:p>
      <w:r>
        <w:t>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- 5/8 -</w:t>
      </w:r>
    </w:p>
    <w:p>
      <w:r>
        <w:t>A/3164/2017-CS</w:t>
      </w:r>
    </w:p>
    <w:p>
      <w:r>
        <w:rPr>
          <w:b/>
        </w:rPr>
        <w:t>E. 1.2</w:t>
      </w:r>
    </w:p>
    <w:p>
      <w:r>
        <w:t>Bien que déposée plus de dix jours après que la plaignante eut pris connaissance, par la notification du commandement de payer, de la poursuite à introduite à son encontre, la plainte, qui respecte les conditions de forme prévues par la loi, est recevable dans la mesure où elle est fondée sur le caractère abusif de ladite poursuite. Conformément à l’art. 22 al. 1 deuxième phrase LP, il incombe en effet à la Chambre de céans d'examiner d'office si la mesure attaquée est nulle. Dans la mesure où, selon la jurisprudence, une poursuite introduite en violation du principe de l'interdiction de l'abus de droit, tel qu'il résulte de l'art. 2 al. 2 CC, est atteinte de nullité (ATF 140 III 481 cons. 2.3.1), il y a lieu d'entrer en matière sur cette question.</w:t>
      </w:r>
    </w:p>
    <w:p>
      <w:r>
        <w:rPr>
          <w:b/>
        </w:rPr>
        <w:t>E. 2.1</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 2b; arrêt du Tribunal fédéral 5A_250_2015 du 10 septembre 2015 cons. 4.1 et références citées).</w:t>
      </w:r>
    </w:p>
    <w:p>
      <w:r>
        <w:rPr>
          <w:b/>
        </w:rPr>
        <w:t>E. 2.2</w:t>
      </w:r>
    </w:p>
    <w:p>
      <w:r>
        <w:t>Il ressort en l'espèce du dossier que, à une date indéterminée, l'intimé a pris connaissance des "attestations" rédigées en 2016 par la plaignante et son époux aux fins d'être produites dans la procédure française l'opposant à sa propre épouse, lesquelles le peignaient sous un jour défavorable. Il s'est manifestement considéré comme lésé par le contenu de ces documents puisqu'il indique avoir déposé à l'encontre de la plaignante et de son époux, en France, une plainte pénale pour faux témoignage. Le dépôt de cette plainte, de même que l'existence et le stade éventuel d'une procédure pénale française, n'ont toutefois pas été établis.</w:t>
      </w:r>
    </w:p>
    <w:p>
      <w:r>
        <w:t>De manière à peu près concomitante, soit dans le courant de l'année 2017, l'intimé a entrepris diverses démarches dont l'objectif était de nuire à la plaignante et à son</w:t>
      </w:r>
    </w:p>
    <w:p>
      <w:r>
        <w:t>- 6/8 -</w:t>
      </w:r>
    </w:p>
    <w:p>
      <w:r>
        <w:t>A/3164/2017-CS époux. Il a ainsi, en particulier, adressé à leurs employeurs respectifs des courriers les informant que ceux-ci faisaient l'objet d'une plainte pénale en France pour des faits graves, alors même que cela ne lui était d'aucune utilité pour la défense de ses intérêts, et a été, de ce chef, reconnu coupable de diffamation.</w:t>
      </w:r>
    </w:p>
    <w:p>
      <w:r>
        <w:t>Il a par ailleurs appelé la plaignante et son époux à leur domicile, leur parlant de la procédure pénale qu'il affirme être en cours en France et prétendant s'inquiéter du bien-être de leur fils, autiste.</w:t>
      </w:r>
    </w:p>
    <w:p>
      <w:r>
        <w:t>Le dépôt, en avril 2017, de la réquisition de poursuite litigieuse s'inscrit ainsi dans le contexte d'une campagne entreprise par l'intimé aux fins de tourmenter la plaignante et son époux, vraisemblablement en guise de représailles pour les attestations qu'ils ont rédigées en faveur de sa propre épouse.</w:t>
      </w:r>
    </w:p>
    <w:p>
      <w:r>
        <w:t>Outre cette coïncidence temporelle, plusieurs indices conduisent à considérer que, par l'introduction de la poursuite litigieuse, l'intimé poursuivait le même but, et non celui d'obtenir le paiement du montant qu'il affirme réclamer.</w:t>
      </w:r>
    </w:p>
    <w:p>
      <w:r>
        <w:t>C'est ainsi en premier lieu que l'intimé n'a pu établir ou même rendre vraisemblable avoir jamais réclamé le montant faisant l'objet de la poursuite avant 2017, soit plus de 6 ans après la fin des prestations alléguées. Au vu de la nature de celles-ci, soit de petits travaux manuels et des transports occasionnels, un tel retard apparaît peu crédible : pour autant qu'elles soient effectivement fournies contre rémunération, des prestations de ce type font en effet, dans la règle, l'objet d'un règlement rapide, avant que leur existence et leur ampleur ne s'effacent des mémoires. Les explications données par l'intimé pour justifier le caractère tardif de sa réclamation sont à cet égard dénuées de vraisemblance.</w:t>
      </w:r>
    </w:p>
    <w:p>
      <w:r>
        <w:t>En deuxième lieu, l'intimé s'est montré incapable d'expliquer sur quelle base le montant réclamé avait été calculé, en particulier le nombre d'heures qu'il aurait selon lui consacrées aux activités alléguées et le tarif horaire convenu ou à tout le moins appliqué. Admettant dans sa requête de conciliation que les prestations fournies ne l'avaient été qu'entre septembre 2009 et janvier 2011 – et non, comme mentionné dans la facture, entre juillet 2007 et janvier 2011 –, il n'en a tiré aucune conséquence sur le capital réclamé ni n'a expliqué pour quel motif celui-ci demeurait le même alors que les prestations facturées – alléguées en partie hebdomadaires – avaient diminué.</w:t>
      </w:r>
    </w:p>
    <w:p>
      <w:r>
        <w:t>Mis en relation avec les diverses démarches entreprises à la même époque par l'intimé dans le but unique de tourmenter la plaignante et son époux, ces éléments conduisent la Chambre de céans à retenir que l'invocation en poursuite d'une prétendue créance de 1'500 fr. en capital ne constitue en réalité qu'un prétexte à l'ouverture d'une procédure de poursuite à l'encontre de la plaignante, procédure dont le but n'est pas le recouvrement du montant réclamé mais le tort causé à la poursuivie par la notification d'un commandement de payer et l'inscription de la poursuite au registre des poursuites. Dépourvue de tout rapport avec la procédure d'exécution forcée prévue par la loi, une telle démarche est constitutive d'un abus</w:t>
      </w:r>
    </w:p>
    <w:p>
      <w:r>
        <w:t>- 7/8 -</w:t>
      </w:r>
    </w:p>
    <w:p>
      <w:r>
        <w:t>A/3164/2017-CS de droit au sens de l'art. 2 al. 2 CC, de telle sorte que la nullité de la poursuite doit être constatée.</w:t>
      </w:r>
    </w:p>
    <w:p>
      <w:r>
        <w:t>Le dépôt par l'intimé d'une requête en conciliation, dans le cadre de laquelle il a conclu à la mainlevée de l'opposition formée par la plaignante au commandement de payer notifié le 7 juin 2017, ne modifie en rien l'appréciation juridique de la situation, et ne permet en particulier pas de retenir que, par l'introduction de la poursuite litigieuse, l'intimé avait effectivement l'intention d'obtenir le paiement du montant réclamé. Ni la motivation de la requête ni les pièces produites à son appui ne permettent en effet de lever les incohérences et coïncidences relevées ci- dessus, sur la base desquelles le caractère abusif de la poursuite doit être retenu.</w:t>
      </w:r>
    </w:p>
    <w:p>
      <w:r>
        <w:rPr>
          <w:b/>
        </w:rPr>
        <w:t>E. 3</w:t>
      </w:r>
    </w:p>
    <w:p>
      <w:r>
        <w:t>La procédure de plainte est gratuite (art. 20a al. 2 ch. 5 LP et art. 61 al. 2 let. a OELP) et il ne peut être alloué aucuns dépens dans cette procédure (art. 62 al. 2 OELP).</w:t>
      </w:r>
    </w:p>
    <w:p>
      <w:r>
        <w:t>* * * * *</w:t>
      </w:r>
    </w:p>
    <w:p>
      <w:r>
        <w:t>- 8/8 -</w:t>
      </w:r>
    </w:p>
    <w:p>
      <w:r>
        <w:t>A/3164/2017-CS PAR CES MOTIFS, La Chambre de surveillance : A la forme : Déclare recevable la plainte formée le 25 juillet 2017 par A______ contre la poursuite n° 2______. Au fond : Constate la nullité de ladite poursuite. Siégeant : Monsieur Patrick CHENAUX, président; Monsieur Frédéric HENSLER et Monsieur Claude MARCET,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