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DCSO/348/2021 vom 16. September 2021</w:t>
      </w:r>
    </w:p>
    <w:p>
      <w:r>
        <w:t>GE Cour de justice, 2021-09-16, FR</w:t>
      </w:r>
    </w:p>
    <w:p>
      <w:r>
        <w:rPr>
          <w:b/>
        </w:rPr>
        <w:t xml:space="preserve">Quelle: </w:t>
      </w:r>
      <w:r>
        <w:t>https://mcp.opencaselaw.ch/entscheid/ge_gerichte_DCSO_348_2021</w:t>
      </w:r>
    </w:p>
    <w:p>
      <w:r>
        <w:t>FR: GE_GERICHTE DCSO/348/2021 du 16 septembre 2021</w:t>
      </w:r>
    </w:p>
    <w:p>
      <w:r>
        <w:t>IT: GE_GERICHTE DCSO/348/2021 del 16 settembre 2021</w:t>
      </w:r>
    </w:p>
    <w:p>
      <w:pPr>
        <w:pStyle w:val="Heading2"/>
      </w:pPr>
      <w:r>
        <w:t>Erwägungen</w:t>
      </w:r>
    </w:p>
    <w:p>
      <w:r>
        <w:rPr>
          <w:b/>
        </w:rPr>
        <w:t>E. 1</w:t>
      </w:r>
    </w:p>
    <w:p>
      <w:r>
        <w:t>En vertu du principe de l'autorité de l'arrêt de renvoi, qui découle du droit fédéral non écrit (ATF 143 IV 214 consid. 5.3.3; 135 III 334 consid. 2.1), l'autorité cantonale à laquelle la cause est renvoyée est tenue de fonder sa nouvelle décision sur les considérants de droit de l'arrêt du Tribunal fédéral.</w:t>
      </w:r>
    </w:p>
    <w:p>
      <w:r>
        <w:t>Elle est ainsi liée par ce qui a déjà été définitivement tranché par le Tribunal fédéral et par les constatations de fait qui n'ont pas été attaquées devant lui ou l'ont été sans succès (ATF 143 IV 214 consid. 5.2.1; 131 III 91 consid. 5.2; 104 IV 276 consid. 3d; cf. aussi arrêt 6B_440/2013 du 27 août 2013 consid. 1.1). La motivation de l'arrêt de renvoi détermine dans quelle mesure la cour cantonale est liée à la première décision et fixe aussi bien le cadre du nouvel état de fait que celui de la nouvelle motivation juridique (ATF 135 III 334 consid. 2). Les parties ne peuvent plus faire valoir, dans un nouveau recours de droit fédéral contre la nouvelle décision cantonale, des moyens que le Tribunal fédéral avait expressément rejetés dans l'arrêt de renvoi (ATF 133 III 201 consid. 4.2) ou qu'il n'avait pas eu à examiner, les parties ayant omis de les invoquer dans la première procédure de recours, alors qu'elles pouvaient - et devaient - le faire (ATF 111 II 94 consid. 2; arrêt 6B_187/2015 du 28 avril 2015 consid. 1.1.2).</w:t>
      </w:r>
    </w:p>
    <w:p>
      <w:r>
        <w:rPr>
          <w:b/>
        </w:rPr>
        <w:t>E. 2.1</w:t>
      </w:r>
    </w:p>
    <w:p>
      <w:r>
        <w:t>Aux termes de son arrêt, le Tribunal fédéral a rappelé que dans la poursuite en réalisation de gage, un exemplaire du commandement de payer était également notifié à l'époux du débiteur lorsque l'immeuble grevé était le logement de la famille au sens de l'art. 169 CC (art. 153 al. 2 let. b LP). Avec la notification d'un exemplaire du commandement de payer, le conjoint acquérait ainsi la qualité de co-poursuivi et pouvait donc former opposition au même titre que le débiteur.</w:t>
      </w:r>
    </w:p>
    <w:p>
      <w:r>
        <w:t>Dès lors qu'en l'espèce aucun exemplaire pour le conjoint du commandement de payer n'avait été notifié dans la poursuite en réalisation de gage dirigée contre feu l'époux de la plaignante, celle-ci était fondée à se plaindre d'une violation de l'art. 153 al. 2 let. b LP, quand bien même elle avait réceptionné le commandement de payer notifié au débiteur. La connaissance de l'existence de la poursuite ne suffisait pas pour admettre que la plaignante avait eu connaissance de ses droits en lien avec celle-ci, en particulier le droit de former opposition.</w:t>
      </w:r>
    </w:p>
    <w:p>
      <w:r>
        <w:t>2.2.1 A la suite de l'arrêt du Tribunal fédéral précité, l'Office a fait notifier à la plaignante un commandement de payer dans la poursuite n° 7______, à l'encontre duquel opposition a été formée.</w:t>
      </w:r>
    </w:p>
    <w:p>
      <w:r>
        <w:t>- 6/7 -</w:t>
      </w:r>
    </w:p>
    <w:p>
      <w:r>
        <w:t>A/615/2020-CS</w:t>
      </w:r>
    </w:p>
    <w:p>
      <w:r>
        <w:t>Quand bien même la cause avait été renvoyée à la Chambre de céans pour examen de la question de savoir si l'objet du gage constituait le logement de la famille au moment de la notification du commandement de payer au débiteur, la notification par l'Office du commandement de payer pour le conjoint a privé la plainte, qui tendait à l'annulation de la poursuite considérée en raison de cette omission, de son objet. D'ailleurs, la plaignante a pu exercer les droits rattachés à cette notification, en particulier celui de former opposition à la poursuite, ce qui a pour conséquence que la vente de l'immeuble ne pourra avoir lieu tant que ce commandement de payer ne sera pas passé en force (cf. art. 100 ORFI).</w:t>
      </w:r>
    </w:p>
    <w:p>
      <w:r>
        <w:t>Aussi, il a été fait droit aux conclusions de la plaignante, de sorte que la plainte a perdu son objet.</w:t>
      </w:r>
    </w:p>
    <w:p>
      <w:r>
        <w:t>2.2.2 L'argument, nouveau, de la plaignante, selon lequel feu son époux aurait formé opposition au commandement de payer, poursuite n° 7______, en date du 15 mars 2017, est sans fondement et sera donc écarté. Il en va de même de l'argument selon lequel le fils de la plaignante, administrateur de la société propriétaire du gage, ne pouvait pas valablement retirer cette opposition.</w:t>
      </w:r>
    </w:p>
    <w:p>
      <w:r>
        <w:t>Il résulte en effet des pièces du dossier que l'exemplaire pour le débiteur du commandement de payer n° 7______ a été notifié le 22 mars 2017 (en mains de la plaignante) et n'a pas été frappé d'opposition. A l'inverse, l'exemplaire du commandement de payer pour le tiers propriétaire du gage a été notifié le 15 mars 2017 et a été frappé d'opposition. En sa qualité d'administrateur avec signature individuelle, le fils de la plaignante pouvait valablement représenter la société propriétaire du gage et retirer en conséquence l'opposition précédemment formée par celle-ci.</w:t>
      </w:r>
    </w:p>
    <w:p>
      <w:r>
        <w:t>La conclusion de la plaignante concernant la nullité de la poursuite n° 6______ ne repose sur aucun grief sérieux ou motivé, de sorte qu'elle est irrecevable. Cette conclusion n'a pas non plus été traitée par le Tribunal fédéral, qui a déclaré le recours irrecevable sur ce point.</w:t>
      </w:r>
    </w:p>
    <w:p>
      <w:r>
        <w:rPr>
          <w:b/>
        </w:rPr>
        <w:t>E. 3</w:t>
      </w:r>
    </w:p>
    <w:p>
      <w:r>
        <w:t>La procédure de plainte est gratuite et il ne sera pas alloué de dépens. * * * * *</w:t>
      </w:r>
    </w:p>
    <w:p>
      <w:r>
        <w:t>- 7/7 -</w:t>
      </w:r>
    </w:p>
    <w:p>
      <w:r>
        <w:t>A/615/2020-CS PAR CES MOTIFS, La Chambre de surveillance : Statuant après renvoi de la cause par le Tribunal fédéral</w:t>
      </w:r>
    </w:p>
    <w:p>
      <w:r>
        <w:t>Constate que la plainte formée le 17 février 2020 par A______ dans la poursuite en réalisation de gage n° 7______ est devenue sans objet en cours de procédure. Raye la cause du rôle. Siégeant : Madame Verena PEDRAZZINI RIZZI, présidente; Madame Natalie OPPATJA et Monsieur Anthony HUGUENIN,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