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DCSO/344/2018 vom 10. November 2017</w:t>
      </w:r>
    </w:p>
    <w:p>
      <w:r>
        <w:t>GE Cour de justice, 2017-11-10, FR</w:t>
      </w:r>
    </w:p>
    <w:p>
      <w:r>
        <w:rPr>
          <w:b/>
        </w:rPr>
        <w:t xml:space="preserve">Quelle: </w:t>
      </w:r>
      <w:r>
        <w:t>https://mcp.opencaselaw.ch/entscheid/ge_gerichte_DCSO_344_2018</w:t>
      </w:r>
    </w:p>
    <w:p>
      <w:r>
        <w:t>FR: GE_GERICHTE DCSO/344/2018 du 10 novembre 2017</w:t>
      </w:r>
    </w:p>
    <w:p>
      <w:r>
        <w:t>IT: GE_GERICHTE DCSO/344/2018 del 10 novembre 2017</w:t>
      </w:r>
    </w:p>
    <w:p>
      <w:pPr>
        <w:pStyle w:val="Heading2"/>
      </w:pPr>
      <w:r>
        <w:t>Regeste</w:t>
      </w:r>
    </w:p>
    <w:p>
      <w:r>
        <w:t>Résumé: Action en reconnaissance de dettes en validation du séquestre intentée plus de 10 jours après réception du jugement rejetant l'opposition au séquestre</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La plainte a été formée dans le délai et la forme prescrits par la loi (art. 17 al. 2 LP; art. 9 al. 1 et 4 LaLP; art 65 LPA).</w:t>
      </w:r>
    </w:p>
    <w:p>
      <w:r>
        <w:rPr>
          <w:b/>
        </w:rPr>
        <w:t>E. 2</w:t>
      </w:r>
    </w:p>
    <w:p>
      <w:r>
        <w:t>Est litigieuse la question de savoir si le plaignant a intenté l'action en reconnaissance de dette dans le délai prévu à l'art. 279 al. 2 LP. 2.1.1 En tant que mesure conservatoire urgente destinée à éviter que le débiteur ne dispose de ses biens pour les soustraire à l'action future de son créancier, le séquestre doit être validé. La validation peut se faire par une poursuite, introduite dans les dix jours à compter de la réception du procès-verbal d'exécution du séquestre (art. 279 al. 1 LP). Si le débiteur forme opposition, le créancier doit requérir la mainlevée de celle-ci ou intenter action en reconnaissance de la dette dans les dix jours à compter de la date à laquelle le double du commandement de payer lui a été notifié (art. 279 al. 2 LP). Toutefois, ces délais ne courent pas pendant la procédure d'opposition à l'ordonnance de séquestre, ni pendant la procédure de recours contre la décision sur opposition (art. 279 al. 5 ch. 1 LP). Au</w:t>
      </w:r>
    </w:p>
    <w:p>
      <w:r>
        <w:t>- 4/6 -</w:t>
      </w:r>
    </w:p>
    <w:p>
      <w:r>
        <w:t>A/694/2018-CS cas où l'un de ces délais ne serait pas respecté, les effets du séquestre cessent de plein droit (art. 280 ch. 1 LP). 2.1.2 Le sens et le but de la procédure de validation du séquestre, qui est empreinte d'une obligation de diligence du créancier séquestrant, impose à ce dernier d'agir avec célérité (ATF 129 III 599 consid. 2.3 in fine;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 2.1.3 Le certificat attestant de la force exécutoire n'a aucun effet matériel. Il n'est qu'un moyen de preuve du caractère exécutoire et n'a qu'une portée déclarative (DCSO/359/2014 du 17 décembre 2014 consid. 3.2; également ATF 126 III 479 consid. 2b; arrêt du Tribunal fédéral 5A_435/2007 du 15 novembre 2007 consid. 2; DROESE, op. cit., n. 25 ad art. 336 CPC; STAEHELIN, in Kommentar zur Schweizerischen Zivilprozessordnung, SUTTER-SOMM/ HASENBÖHLER/ LEUENBERGER, 2e éd., n. 24ss ad art. 336 CPC; JEANDIN, in Code de procédure civile commenté, BOHNET/HALDY/JEANDIN/SCHWEIZER, 2011, n. 9 ad art. 336 CPC).</w:t>
      </w:r>
    </w:p>
    <w:p>
      <w:r>
        <w:rPr>
          <w:b/>
        </w:rPr>
        <w:t>E. 2.2</w:t>
      </w:r>
    </w:p>
    <w:p>
      <w:r>
        <w:t>En l'espèce, à réception du procès-verbal de séquestre le 30 mars 2017, le créancier a requis la poursuite du débiteur en validation du séquestre, soit dans le délai prescrit. Le double du commandement de payer notifié au débiteur le 28 avril 2017 a été retourné au créancier le 9 mai 2017, ouvrant le délai pour agir en mainlevée ou intenter l'action en reconnaissance de dette. Le débiteur ayant formé opposition au séquestre, ce délai a été suspendu, conformément à l'art. 279 al. 5 ch. 1 LP. Le jugement du Tribunal de première instance écartant l'opposition au séquestre a été rendu le 10 novembre 2017 et notifié au plaignant le 13 novembre 2017. Compte tenu des considérations qui précèdent, le créancier plaignant ne pouvait, après la réception du jugement rejetant l'opposition au séquestre, attendre l'échéance du délai de recours. En effet, comme il ne pouvait attendre de savoir si le débiteur avait fait opposition au séquestre pour requérir la validation du séquestre, il ne pouvait attendre de savoir si le débiteur avait fait recours contre le jugement rejetant l'opposition pour requérir la mainlevée ou intenter l'action en reconnaissance de dette. La date de notification du jugement au débiteur lui est en effet inconnue, de sorte qu'il lui est difficile de connaître l'échéance de ce délai. Face à cette incertitude, et compte tenu de l'obligation d'agir avec célérité qui lui incombe en matière de séquestre, il devait requérir la mainlevée ou intenter l'action en reconnaissance de dette dans les dix jours suivant la notification de ce jugement, sans attendre de connaître la volonté du débiteur de recourir contre ledit jugement. Peu importe que sa démarche se soit avérée par la suite prématurée.</w:t>
      </w:r>
    </w:p>
    <w:p>
      <w:r>
        <w:t>- 5/6 -</w:t>
      </w:r>
    </w:p>
    <w:p>
      <w:r>
        <w:t>A/694/2018-CS Le certificat de non recours n’ayant aucun effet matériel puisqu’il ne fait que constater, a posteriori, l’entrée en force de la décision concernée, il ne saurait avoir un quelconque effet sur le cours du délai de péremption de l’art. 279 al. 2 LP cum 279 al. 5 LP. C'est ainsi à bon droit que l'Office a constaté la caducité du séquestre, faute pour le créancier d'avoir intenté l'action en reconnaissance de dette dans le délai de dix jours dès la notification du jugement rejetant l'opposition au séquestre. Les griefs du plaignant sont infondés, de sorte que la plainte sera rejetée.</w:t>
      </w:r>
    </w:p>
    <w:p>
      <w:r>
        <w:rPr>
          <w:b/>
        </w:rPr>
        <w:t>E. 3</w:t>
      </w:r>
    </w:p>
    <w:p>
      <w:r>
        <w:t>Il est statué sans frais ni dépens (art. 20a al. 2 ch. 5 LP ; 61 al. 2 let. a et 62 al. 2 OELP). * * * * *</w:t>
      </w:r>
    </w:p>
    <w:p>
      <w:r>
        <w:t>- 6/6 -</w:t>
      </w:r>
    </w:p>
    <w:p>
      <w:r>
        <w:t>A/694/2018-CS PAR CES MOTIFS, La Chambre de surveillance : A la forme : Déclare recevable la plainte formée par A______ le 27 février 2017 dans le cadre du séquestre n°1______. Au fond : La rejette. Siégeant : Madame Pauline ERARD, présidente; Messieurs Frédéric HENSLER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