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DCSO/344/2016 vom 10. November 2016</w:t>
      </w:r>
    </w:p>
    <w:p>
      <w:r>
        <w:t>GE Cour de justice, 2016-11-10, FR</w:t>
      </w:r>
    </w:p>
    <w:p>
      <w:r>
        <w:rPr>
          <w:b/>
        </w:rPr>
        <w:t xml:space="preserve">Quelle: </w:t>
      </w:r>
      <w:r>
        <w:t>https://mcp.opencaselaw.ch/entscheid/ge_gerichte_DCSO_344_2016</w:t>
      </w:r>
    </w:p>
    <w:p>
      <w:r>
        <w:t>FR: GE_GERICHTE DCSO/344/2016 du 10 novembre 2016</w:t>
      </w:r>
    </w:p>
    <w:p>
      <w:r>
        <w:t>IT: GE_GERICHTE DCSO/344/2016 del 10 novembre 2016</w:t>
      </w:r>
    </w:p>
    <w:p>
      <w:pPr>
        <w:pStyle w:val="Heading2"/>
      </w:pPr>
      <w:r>
        <w:t>Regeste</w:t>
      </w:r>
    </w:p>
    <w:p>
      <w:r>
        <w:t>Résumé: Recours interjeté au TF le 24 novembre 2016 par la débitrice, partiellement admis par arrêt du 30.03.2017 (5A_905/2016). La décision attaquée est annulée et l'affaire renvoyée à l'autorité précédente pour nouvelle décision.</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notification d’un commandement de payer ainsi que d’une commination de faillite sont des mesures sujettes à plainte et le poursuivi a qualité pour agir par cette voie.</w:t>
      </w:r>
    </w:p>
    <w:p>
      <w:r>
        <w:t>- 4/8 -</w:t>
      </w:r>
    </w:p>
    <w:p>
      <w:r>
        <w:t>A/2668/2016-CS 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 En application de l’art. 64 al. 2 LP applicable dans le cadre d’une poursuite dirigée contre une société anonyme, le commandement de payer doit être notifié au représentant de cette dernière, soit à un administrateur, un directeur ou à un fondé de procuration, à défaut, à un employé de cette société lorsque les personnes précitées ne sont pas rencontrées à leur bureau (art. 65 al. 2 LP). Quand l’une ou l’autre de ces personnes ou représentants ne sont pas trouvés personnellement au bureau de la société, l’acte peut être remis valablement à une personne adulte faisant parti du ménage du représentant de la société (ATF 134 III 112 - JT 2008 II 75; 64 al. 1 LP par analogie). 1.2.2 En l’espèce, il ressort des faits de la cause que le commandement de payer litigieux a été notifié le 7 juillet 2015 en mains de D______, fils majeur de E______, alors que ce dernier n’était alors ni administrateur ni directeur ni fondé de procuration de la société débitrice. Il n’a en effet été inscrit au Registre du commerce en qualité d’administrateur secrétaire liquidateur de cette dernière que le 12 juillet 2016. Par conséquent, la notification, le 7 juillet 2015, en mains de son fils du commandement de payer, poursuite n° 15 xxxx69 E, n’était pas valable et n’a pu déployer aucun effet.</w:t>
      </w:r>
    </w:p>
    <w:p>
      <w:r>
        <w:rPr>
          <w:b/>
        </w:rPr>
        <w:t>E. 1.3</w:t>
      </w:r>
    </w:p>
    <w:p>
      <w:r>
        <w:t>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w:t>
      </w:r>
    </w:p>
    <w:p>
      <w:r>
        <w:t>- 5/8 -</w:t>
      </w:r>
    </w:p>
    <w:p>
      <w:r>
        <w:t>A/2668/2016-CS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 ATF 128 III 101 consid. 2, JdT 2002 II 23 ;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1.3.1</w:t>
      </w:r>
    </w:p>
    <w:p>
      <w:r>
        <w:t>En l’espèce, il ressort du dossier que la débitrice plaignante a effectivement pris connaissance, au plus tôt le 6 août 2016, de l’existence de la poursuite litigieuse n° 15 xxxx69 E, soit dès la date de la notification de la commination de faillite requise dans le cadre de cette poursuite. Ainsi, formée en temps utile contre la notification d’un commandement de payer, dont il est allégué qu’elle est viciée, la présente plainte, expédiée le 12 août 2016, soit dans les 10 jours dès la connaissance par le représentant de la débitrice plaignante de l’existence de la poursuite correspondante, est recevable, pour avoir également été déposée dans la forme prescrite (/art. 17 al. 4 LP).</w:t>
      </w:r>
    </w:p>
    <w:p>
      <w:r>
        <w:rPr>
          <w:b/>
        </w:rPr>
        <w:t>E. 1.3.2</w:t>
      </w:r>
    </w:p>
    <w:p>
      <w:r>
        <w:t>En revanche, la débitrice poursuivie n’a pas déclaré faire opposition à ladite poursuite dans le même délai légal de dix jours dès sa prise de connaissance de son existence, le 6 août 2016, de sorte qu’elle n’était plus fondée à former une telle opposition après l’échéance de ce délai, le 16 août 2016.</w:t>
      </w:r>
    </w:p>
    <w:p>
      <w:r>
        <w:rPr>
          <w:b/>
        </w:rPr>
        <w:t>E. 1.4</w:t>
      </w:r>
    </w:p>
    <w:p>
      <w:r>
        <w:t>Reste à déterminer si ledit délai pour former cette opposition peut aujourd’hui lui être restitué.</w:t>
      </w:r>
    </w:p>
    <w:p>
      <w:r>
        <w:rPr>
          <w:b/>
        </w:rPr>
        <w:t>E. 1.4.1</w:t>
      </w:r>
    </w:p>
    <w:p>
      <w:r>
        <w:t>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(GILLIERON, Poursuite pour dettes, faillite et concordat, 4ème éd., n° 707).</w:t>
      </w:r>
    </w:p>
    <w:p>
      <w:r>
        <w:t>- 6/8 -</w:t>
      </w:r>
    </w:p>
    <w:p>
      <w:r>
        <w:t>A/2668/2016-CS Cette disposition est applicable à la restitution du délai de dix jours pour former opposition à un commandement de payer (art. 74 al. 1 LP; JAEGER/WALDER/ KULL/KOTTMANN in SchKG, ad art. 33 n° 18; RJN 2006 265-271). Objectivement, l'art. 33 al. 4 LP ne s'applique que si le délai est échu, ce qui suppose qu'il a valablement couru, soit, en d'autres termes, que l'empêchement d'agir n'est pas dû à une communication irrégulière et que cet empêchement n’était pas dû à la faute du requérant. Il faut entendre par empêchement non fautif, non seulement l'impossibilité objective, comme la force majeure, mais aussi l'impossibilité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(POUDRET, Commentaire de la loi fédérale d'organisation judiciaire, STAMPFLI 1990, vol. I, ad art. 35 p. 247 et ss.).</w:t>
      </w:r>
    </w:p>
    <w:p>
      <w:r>
        <w:rPr>
          <w:b/>
        </w:rPr>
        <w:t>E. 1.4.2</w:t>
      </w:r>
    </w:p>
    <w:p>
      <w:r>
        <w:t>En l'espèce, il ressort de la présente procédure que, d’une part, la débitrice poursuivie n’a pas conclu formellement dans sa présente plainte à la restitution du délai pour former une opposition à la poursuite n° 15 xxxx69 E, alors que le délai pour former cette opposition était échu. D’autre part, ni elle-même ni son représentant n'allèguent ni ne justifient d’un empêchement non fautif à former cette opposition dans le délai légal de 10 jours courant dès le 6 août 2016, date dès laquelle ledit représentant n’a pu ignorer l’existence de la poursuite en cause. Par conséquent, la société poursuivie ne peut plus aujourd’hui former opposition à la poursuite n° 15 xxxx69 E.</w:t>
      </w:r>
    </w:p>
    <w:p>
      <w:r>
        <w:rPr>
          <w:b/>
        </w:rPr>
        <w:t>E. 1.5</w:t>
      </w:r>
    </w:p>
    <w:p>
      <w:r>
        <w:t>C’est dès lors à bon droit que l’Office lui a notifié la commination de faillite correspondant à cette poursuite, de sorte que la présente plainte devrait être rejetée sous cet angle.</w:t>
      </w:r>
    </w:p>
    <w:p>
      <w:r>
        <w:rPr>
          <w:b/>
        </w:rPr>
        <w:t>E. 2.1</w:t>
      </w:r>
    </w:p>
    <w:p>
      <w:r>
        <w:t>Il y a en outre lieu de relever, subsidiairement, sur le fond et sous réserve d’un abus de droit manifeste non réalisé en l'espèce, qu’il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w:t>
      </w:r>
    </w:p>
    <w:p>
      <w:r>
        <w:t>- 7/8 -</w:t>
      </w:r>
    </w:p>
    <w:p>
      <w:r>
        <w:t>A/2668/2016-CS suspension de la poursuite (art. 85 et 85a LP), voire, en dernier ressort, de l'action en répétition de l'indu (art. 86 LP), domaines qui relèvent tous de la compétence exclusive des tribunaux ordinaires.</w:t>
      </w:r>
    </w:p>
    <w:p>
      <w:r>
        <w:rPr>
          <w:b/>
        </w:rPr>
        <w:t>E. 2.2</w:t>
      </w:r>
    </w:p>
    <w:p>
      <w:r>
        <w:t>En l’espèce, la plaignante conteste devoir le montant poursuivi.</w:t>
      </w:r>
    </w:p>
    <w:p>
      <w:r>
        <w:t>Dès lors, et en application des principes rappelés ci-dessus sous ch. 2.1, son grief, qui a trait exclusivement au fond de la créance poursuivie ne relève pas de la compétence de la Chambre de surveillance, de sorte que sa plainte est irrecevable pour ce motif.</w:t>
      </w:r>
    </w:p>
    <w:p>
      <w:r>
        <w:rPr>
          <w:b/>
        </w:rPr>
        <w:t>E. 3</w:t>
      </w:r>
    </w:p>
    <w:p>
      <w:r>
        <w:t>Cela étant, la Chambre de surveillance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w:t>
      </w:r>
    </w:p>
    <w:p>
      <w:r>
        <w:t>Ces actions relèvent toutes de la compétence exclusive du juge ordinaire, devant lequel le plaignant sera renvoyé à agir, s’il l’estime opportun.</w:t>
      </w:r>
    </w:p>
    <w:p>
      <w:r>
        <w:rPr>
          <w:b/>
        </w:rPr>
        <w:t>E. 4</w:t>
      </w:r>
    </w:p>
    <w:p>
      <w:r>
        <w:t>Il n'est pas perçu de dépens (art. 62 al. OELP). * * * * *</w:t>
      </w:r>
    </w:p>
    <w:p>
      <w:r>
        <w:t>- 8/8 -</w:t>
      </w:r>
    </w:p>
    <w:p>
      <w:r>
        <w:t>A/2668/2016-CS PAR CES MOTIFS, La Chambre de surveillance : A la forme : Déclare recevable à la forme la plainte de A______ SA en liquidation contre la notification du commandement de payer, poursuite n° 15 xxxx69 E, ainsi que de la commination de faillite correspondante. Au fond : La rejette, subsidiairement, la déclare irrecevable.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