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DCSO/341/2023 vom 27. Juli 2023</w:t>
      </w:r>
    </w:p>
    <w:p>
      <w:r>
        <w:t>GE Cour de justice, 2023-07-27, FR</w:t>
      </w:r>
    </w:p>
    <w:p>
      <w:r>
        <w:rPr>
          <w:b/>
        </w:rPr>
        <w:t xml:space="preserve">Quelle: </w:t>
      </w:r>
      <w:r>
        <w:t>https://mcp.opencaselaw.ch/entscheid/ge_gerichte_DCSO_341_2023</w:t>
      </w:r>
    </w:p>
    <w:p>
      <w:r>
        <w:t>FR: GE_GERICHTE DCSO/341/2023 du 27 juillet 2023</w:t>
      </w:r>
    </w:p>
    <w:p>
      <w:r>
        <w:t>IT: GE_GERICHTE DCSO/341/2023 del 27 luglio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 MÜHLL, Basler Kommentar SchKG I, n° 54 ad art. 93 LP; DCSO/243/2015 du 20 août 2015 consid. 2.2 et 2.3).</w:t>
      </w:r>
    </w:p>
    <w:p>
      <w:r>
        <w:rPr>
          <w:b/>
        </w:rPr>
        <w:t>E. 2</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ATF 112 III 79 consid. 2) – l'Office doit d'abord tenir compte de toutes les ressources du débiteur; puis, après avoir déterminé le revenu global brut, il évalue le revenu net en</w:t>
      </w:r>
    </w:p>
    <w:p>
      <w:r>
        <w:t>- 5/8 -</w:t>
      </w:r>
    </w:p>
    <w:p>
      <w:r>
        <w:t>A/211/2023-CS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w:t>
      </w:r>
    </w:p>
    <w:p>
      <w:r>
        <w:t>2.1.2 Les revenus pris en considération sont les revenus réels du débiteur. L'Office ne peut en effet fixer le montant saisissable en se fondant sur un revenu hypothétique (ATF 115 III 103 consid. 1.c = JdT 1991 II 108; arrêt du Tribunal fédéral 5A_490/2012 du 23 novembre 2012 consid. 3; KREN KOSTKIEWICZ, in KUKO SchKG, n° 17 ad art. 93 LP).</w:t>
      </w:r>
    </w:p>
    <w:p>
      <w:r>
        <w:t>Si des revenus du débiteur sont insaisissables au sens des articles 92 et 93 LP, ils sont néanmoins ajoutés aux revenus saisissables afin de calculer la part saisissable (ATF 135 III 20 consid. 5.1).</w:t>
      </w:r>
    </w:p>
    <w:p>
      <w:r>
        <w:t>Les prestations d'assistance et subsides alloués par un canton ou une commune sont insaisissables, même s'ils excèdent le minimum vital du débiteur (art. 92 al. 1 ch. 8 LP VONDER MÜHL, Basler Kommentar, SchKG I, n° 30 ad art. 92 LP). 2.1.3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(art. 1 NI), sous déduction des allocations familiales (OCHSNER, op. cit., p. 132). 2.1.4 D'autres charges indispensables, comme les frais de logement (art. II.1 et II.3 NI), les primes d'assurance-maladie obligatoire (art. II.3 NI), les contributions d'entretien dues en vertu de la loi (art. II.5 NI) ou les frais de formation des enfants (art. II.6 NI), doivent être ajoutées à cette base mensuelle d'entretien, pour</w:t>
      </w:r>
    </w:p>
    <w:p>
      <w:r>
        <w:t>- 6/8 -</w:t>
      </w:r>
    </w:p>
    <w:p>
      <w:r>
        <w:t>A/211/2023-CS autant qu'elles soient effectivement payées (OCHSNER, Commentaire Romand, Poursuite et faillite, 2005, n° 82 ad art. 93 LP). Les impôts ne sont pas pris en compte dans le calcul du minimum vital (art. III NI et jurisprudence citée). 2.1.5 Dans le cadre tracé par les dispositions légales et les nombreux principes dégagés par la jurisprudence, l'Office dispose, dans la détermination du minimum vital du débiteur, d'un pouvoir d'appréciation étendu (art. 93 al. 1 LP; ATF 134 III 323 consid. 2; OCHSNER, in Commentaire Romand, Poursuite et faillite, 2005, n° 79 ad art. 93 LP), qui lui permet de prendre en considération aussi bien les intérêts des créanciers que ceux du débiteur (ATF 119 III 70 consid. 3b; KREN KOSTKIEWICZ, in KUKO SchKG, 2ème édition, 2014, n° 17 ad art. 93 LP).</w:t>
      </w:r>
    </w:p>
    <w:p>
      <w:r>
        <w:t>2.1.6 Bien qu’à teneur de l'art. 91 al. 1 LP, le débiteur soit tenu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Il doit donc interroger le poursuivi sur la composition de son patrimoine, sans se contenter de vagues indications données par ce dernier, ni se borner à enregistrer ses déclarations. Il doit les vérifier en exigeant, et en obtenant, les justificatifs correspondants. Si le créancier mentionne des pistes concernant les biens saisissables du débiteur, l'Office doit les creuser (arrêt du Tribunal fédéral 7B.212/2002 du 27 novembre 2002; GILLIERON, Commentaire de la LP, n° 12 et ss ad art. 91 LP; ATF 83 III 63). La question de savoir si et dans quelle mesure les investigations menées par l'Office sont défectueuses et leur résultat inexact doit être examinée au regard des éléments qui ont été critiqués par le créancier dans une plainte déposée dans le délai de dix jours dès la communication du procès-verbal de saisie (ATF 127 III 572 consid. 3c, JdT 2001 II 78; ATF 86 III 53 consid. 1, JdT 1961 II 12).</w:t>
      </w:r>
    </w:p>
    <w:p>
      <w:r>
        <w:rPr>
          <w:b/>
        </w:rPr>
        <w:t>E. 2.2</w:t>
      </w:r>
    </w:p>
    <w:p>
      <w:r>
        <w:t>En l'espèce, la plaignante a articulé trois griefs précis contre la décision entreprise, soit l'introduction erronée dans les charges du débiteur et de son épouse du loyer de deux garages ainsi que de frais de recherche d'emploi du débiteur, puis d'avoir omis de tenir compte des revenus de l'épouse du débiteur. En outre, elle reprochait de manière générale à l'Office de ne pas avoir suffisamment investigué la situation du débiteur et de sa famille. S'agissant des loyers pour deux garages et de l'omission des revenus de l'épouse du débiteur, l'Office a admis avoir commis des erreurs et en a tenu compte dans son nouveau calcul de la quotité saisissable des revenus du débiteur. Il a en</w:t>
      </w:r>
    </w:p>
    <w:p>
      <w:r>
        <w:t>- 7/8 -</w:t>
      </w:r>
    </w:p>
    <w:p>
      <w:r>
        <w:t>A/211/2023-CS revanche persisté à retenir des frais de recherche d'emploi, le débiteur ayant justifié celles-ci. Sur ces points la position de l'Office n'est plus critiquable. S'agissant plus globalement d'un défaut d'investigation, la plaignante ne donne aucune piste permettant de penser que l'Office n'aurait pas suffisamment enquêté, notamment après que ce dernier a convoqué une seconde fois le débiteur et obtenu des documents tels que les décomptes bancaires, la déclaration fiscale des intéressés, les comptes 2022 de l'épouse du débiteur et les attestations de frais médicaux non remboursés des époux. Il en ressort que le déficit du budget des époux B______/C______ est en réalité plus important que celui initialement retenu par l'Office de sorte que la décision de déclarer insaisissable les revenus du débiteur demeure justifiée. La plainte est par conséquent rejetée.</w:t>
      </w:r>
    </w:p>
    <w:p>
      <w:r>
        <w:rPr>
          <w:b/>
        </w:rPr>
        <w:t>E. 4</w:t>
      </w:r>
    </w:p>
    <w:p>
      <w:r>
        <w:t>La procédure devant l'autorité de surveillance est gratuite (art. 20a al. 2 ch. 5 LP; art. 61 al. 2 let. a OELP) et ne donne pas lieu à l'allocation de dépens (art. 62 al. 2 OELP). * * * * *</w:t>
      </w:r>
    </w:p>
    <w:p>
      <w:r>
        <w:t>- 8/8 -</w:t>
      </w:r>
    </w:p>
    <w:p>
      <w:r>
        <w:t>A/211/2023-CS</w:t>
      </w:r>
    </w:p>
    <w:p>
      <w:r>
        <w:t>PAR CES MOTIFS, La Chambre de surveillance :</w:t>
      </w:r>
    </w:p>
    <w:p>
      <w:r>
        <w:t>A la forme : Déclare recevable la plainte formée par COOPERATIVE A______ contre le procès- verbal de saisie valant acte de défaut de biens n° 3______ du 9 janvier 2023. Au fond : La rejette. Siégeant : Monsieur Jean REYMOND, président; Madame Ekaterine BLINOVA et Monsieur Denis KELLER, juges assesseurs; Madame Véronique AMAUDRY- 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